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GoBack"/>
      <w:bookmarkEnd w:id="0"/>
      <w:r>
        <w:rPr/>
        <w:drawing>
          <wp:inline distT="0" distB="0" distL="0" distR="0">
            <wp:extent cx="2866390" cy="600075"/>
            <wp:effectExtent l="0" t="0" r="0" b="0"/>
            <wp:docPr id="1" name="Immagin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Unione d’Acquisto </w:t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Azienda Capofila AUSL MODENA</w:t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Corpodeltesto"/>
        <w:spacing w:lineRule="auto" w:line="360" w:before="60" w:after="60"/>
        <w:jc w:val="center"/>
        <w:rPr>
          <w:rFonts w:ascii="Arial" w:hAnsi="Arial" w:cs="Arial"/>
          <w:b/>
          <w:b/>
          <w:caps/>
          <w:sz w:val="22"/>
          <w:szCs w:val="22"/>
        </w:rPr>
      </w:pPr>
      <w:r>
        <w:rPr>
          <w:rFonts w:cs="Arial" w:ascii="Arial" w:hAnsi="Arial"/>
          <w:b/>
          <w:caps/>
          <w:sz w:val="22"/>
          <w:szCs w:val="22"/>
        </w:rPr>
        <w:t>Procedura Aperta per l’affidamento d</w:t>
      </w:r>
      <w:r>
        <w:rPr>
          <w:rFonts w:cs="Arial" w:ascii="Arial" w:hAnsi="Arial"/>
          <w:b/>
          <w:caps/>
          <w:sz w:val="22"/>
          <w:szCs w:val="22"/>
          <w:lang w:val="it-IT"/>
        </w:rPr>
        <w:t>i un appalto misto di servizi e</w:t>
      </w:r>
      <w:r>
        <w:rPr>
          <w:rFonts w:cs="Arial" w:ascii="Arial" w:hAnsi="Arial"/>
          <w:b/>
          <w:caps/>
          <w:sz w:val="22"/>
          <w:szCs w:val="22"/>
        </w:rPr>
        <w:t xml:space="preserve"> Forniture</w:t>
      </w:r>
      <w:r>
        <w:rPr>
          <w:rFonts w:cs="Arial" w:ascii="Arial" w:hAnsi="Arial"/>
          <w:b/>
          <w:caps/>
          <w:sz w:val="22"/>
          <w:szCs w:val="22"/>
          <w:lang w:val="it-IT"/>
        </w:rPr>
        <w:t xml:space="preserve"> costituito da 4</w:t>
      </w:r>
      <w:r>
        <w:rPr>
          <w:rFonts w:cs="Arial" w:ascii="Arial" w:hAnsi="Arial"/>
          <w:b/>
          <w:caps/>
          <w:sz w:val="22"/>
          <w:szCs w:val="22"/>
        </w:rPr>
        <w:t xml:space="preserve"> LOTTI Distinti DI </w:t>
      </w:r>
      <w:r>
        <w:rPr>
          <w:rFonts w:cs="Arial" w:ascii="Arial" w:hAnsi="Arial"/>
          <w:b/>
          <w:caps/>
          <w:sz w:val="22"/>
          <w:szCs w:val="22"/>
          <w:lang w:val="it-IT"/>
        </w:rPr>
        <w:t>protesi odontoiatriche, apparecchi ortodontici, scanner intraorali</w:t>
      </w:r>
      <w:r>
        <w:rPr>
          <w:rFonts w:cs="Arial" w:ascii="Arial" w:hAnsi="Arial"/>
          <w:b/>
          <w:caps/>
          <w:sz w:val="22"/>
          <w:szCs w:val="22"/>
        </w:rPr>
        <w:t xml:space="preserve"> e MATERIALE ORTODONTICO OCCORRENTI ALL’UNIONE D’ACQUISTO FRA LE AZIENDE SANITARIE DELL’AREA VASTA EMILIA NORD DI DURATA </w:t>
      </w:r>
      <w:r>
        <w:rPr>
          <w:rFonts w:cs="Arial" w:ascii="Arial" w:hAnsi="Arial"/>
          <w:b/>
          <w:caps/>
          <w:sz w:val="22"/>
          <w:szCs w:val="22"/>
          <w:lang w:val="it-IT"/>
        </w:rPr>
        <w:t>quadriennale eventualmente rinnovabile per ulteriori anni due</w:t>
      </w:r>
      <w:r>
        <w:rPr>
          <w:rFonts w:cs="Arial" w:ascii="Arial" w:hAnsi="Arial"/>
          <w:b/>
          <w:caps/>
          <w:sz w:val="22"/>
          <w:szCs w:val="22"/>
        </w:rPr>
        <w:t xml:space="preserve">. </w:t>
      </w:r>
    </w:p>
    <w:p>
      <w:pPr>
        <w:pStyle w:val="Corpodeltesto"/>
        <w:spacing w:lineRule="auto" w:line="360" w:before="60" w:after="60"/>
        <w:jc w:val="center"/>
        <w:rPr>
          <w:rFonts w:ascii="Arial" w:hAnsi="Arial" w:cs="Arial"/>
          <w:b/>
          <w:b/>
          <w:caps/>
          <w:sz w:val="22"/>
          <w:szCs w:val="22"/>
          <w:lang w:val="it-IT"/>
        </w:rPr>
      </w:pPr>
      <w:r>
        <w:rPr>
          <w:rFonts w:cs="Arial" w:ascii="Arial" w:hAnsi="Arial"/>
          <w:b/>
          <w:caps/>
          <w:sz w:val="22"/>
          <w:szCs w:val="22"/>
          <w:lang w:val="it-IT"/>
        </w:rPr>
        <w:t>CAPOFILA AZIENDA USL DI modena</w:t>
      </w:r>
    </w:p>
    <w:p>
      <w:pPr>
        <w:pStyle w:val="Normal"/>
        <w:widowControl w:val="false"/>
        <w:spacing w:lineRule="auto" w:line="360" w:before="60" w:after="60"/>
        <w:jc w:val="center"/>
        <w:rPr>
          <w:rFonts w:ascii="Arial" w:hAnsi="Arial" w:cs="Arial"/>
          <w:b/>
          <w:b/>
          <w:sz w:val="22"/>
          <w:lang w:eastAsia="it-IT"/>
        </w:rPr>
      </w:pPr>
      <w:r>
        <w:rPr>
          <w:rFonts w:cs="Arial" w:ascii="Arial" w:hAnsi="Arial"/>
          <w:b/>
          <w:sz w:val="22"/>
          <w:lang w:eastAsia="it-IT"/>
        </w:rPr>
      </w:r>
    </w:p>
    <w:p>
      <w:pPr>
        <w:pStyle w:val="Normal"/>
        <w:jc w:val="center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center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tbl>
      <w:tblPr>
        <w:tblW w:w="9778" w:type="dxa"/>
        <w:jc w:val="left"/>
        <w:tblInd w:w="108" w:type="dxa"/>
        <w:tblCellMar>
          <w:top w:w="113" w:type="dxa"/>
          <w:left w:w="108" w:type="dxa"/>
          <w:bottom w:w="113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>
          <w:trHeight w:val="1555" w:hRule="atLeast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360" w:before="120"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ALLEGATO 7</w:t>
            </w:r>
          </w:p>
          <w:p>
            <w:pPr>
              <w:pStyle w:val="Normal"/>
              <w:spacing w:lineRule="auto" w:line="360" w:before="120" w:after="12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</w:rPr>
              <w:t>PATTO DI INTEGRITÀ</w:t>
            </w:r>
          </w:p>
        </w:tc>
      </w:tr>
    </w:tbl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  <w:r>
        <w:br w:type="page"/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PATTO DI INTEGRITÀ IN MATERIA DI CONTRATTI PUBBLICI </w:t>
      </w:r>
    </w:p>
    <w:p>
      <w:pPr>
        <w:pStyle w:val="Normal"/>
        <w:spacing w:lineRule="auto" w:line="360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L’OPERATORE ECONOMICO </w:t>
      </w:r>
      <w:r>
        <w:rPr>
          <w:rFonts w:cs="Arial" w:ascii="Arial" w:hAnsi="Arial"/>
          <w:b/>
          <w:i/>
          <w:iCs/>
          <w:sz w:val="22"/>
          <w:szCs w:val="22"/>
        </w:rPr>
        <w:t>[INDICARE DENOMINAZIONE E FORMA GIURIDICA</w:t>
      </w:r>
      <w:r>
        <w:rPr>
          <w:rFonts w:cs="Arial" w:ascii="Arial" w:hAnsi="Arial"/>
          <w:b/>
          <w:i/>
          <w:sz w:val="22"/>
          <w:szCs w:val="22"/>
        </w:rPr>
        <w:t>]</w:t>
      </w:r>
      <w:r>
        <w:rPr>
          <w:rFonts w:cs="Arial" w:ascii="Arial" w:hAnsi="Arial"/>
          <w:b/>
          <w:bCs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________</w:t>
      </w:r>
    </w:p>
    <w:p>
      <w:pPr>
        <w:pStyle w:val="Normal"/>
        <w:spacing w:lineRule="auto" w:line="360"/>
        <w:jc w:val="both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con sede legale in _____________________, via ___________________________n. _________ Codice Fiscale</w:t>
      </w:r>
      <w:r>
        <w:rPr>
          <w:rFonts w:cs="Arial" w:ascii="Arial" w:hAnsi="Arial"/>
          <w:bCs/>
          <w:sz w:val="22"/>
          <w:szCs w:val="22"/>
        </w:rPr>
        <w:t xml:space="preserve">_________________, P. IVA_______________, </w:t>
      </w:r>
      <w:r>
        <w:rPr>
          <w:rFonts w:cs="Arial" w:ascii="Arial" w:hAnsi="Arial"/>
          <w:sz w:val="22"/>
          <w:szCs w:val="22"/>
        </w:rPr>
        <w:t xml:space="preserve">rappresentato da </w:t>
      </w:r>
      <w:r>
        <w:rPr>
          <w:rFonts w:cs="Arial" w:ascii="Arial" w:hAnsi="Arial"/>
          <w:b/>
          <w:i/>
          <w:iCs/>
          <w:sz w:val="22"/>
          <w:szCs w:val="22"/>
        </w:rPr>
        <w:t>[COGNOME E NOME]</w:t>
      </w:r>
      <w:r>
        <w:rPr>
          <w:rFonts w:cs="Arial" w:ascii="Arial" w:hAnsi="Arial"/>
          <w:sz w:val="22"/>
          <w:szCs w:val="22"/>
        </w:rPr>
        <w:t xml:space="preserve"> __________________________________________________________ in qualità di </w:t>
      </w:r>
      <w:r>
        <w:rPr>
          <w:rFonts w:cs="Arial" w:ascii="Arial" w:hAnsi="Arial"/>
          <w:b/>
          <w:i/>
          <w:sz w:val="22"/>
          <w:szCs w:val="22"/>
        </w:rPr>
        <w:t>[</w:t>
      </w:r>
      <w:r>
        <w:rPr>
          <w:rFonts w:cs="Arial" w:ascii="Arial" w:hAnsi="Arial"/>
          <w:b/>
          <w:i/>
          <w:iCs/>
          <w:sz w:val="22"/>
          <w:szCs w:val="22"/>
        </w:rPr>
        <w:t>TITOLARE/LEGALE RAPPRESENTANTE]</w:t>
      </w: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bCs/>
          <w:sz w:val="22"/>
          <w:szCs w:val="22"/>
        </w:rPr>
        <w:t>___________________________ con riferimento alla procedura aperta per _____________________________________________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 xml:space="preserve">DICHIARA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cs="Arial" w:ascii="Arial" w:hAnsi="Arial"/>
          <w:bCs/>
          <w:sz w:val="22"/>
          <w:szCs w:val="22"/>
        </w:rPr>
        <w:t xml:space="preserve">di accettare il seguente Patto di integrità </w:t>
      </w:r>
      <w:r>
        <w:rPr>
          <w:rFonts w:ascii="Arial" w:hAnsi="Arial"/>
          <w:b/>
          <w:sz w:val="22"/>
          <w:szCs w:val="22"/>
        </w:rPr>
        <w:t xml:space="preserve">APPROVATO DALLA REGIONE  EMILIA-ROMAGNA CON DELIBERA DELLA GIUNTA N. 565 DEL 01 LUGLIO 2022 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Art. 1. Finalità</w:t>
      </w:r>
    </w:p>
    <w:p>
      <w:pPr>
        <w:pStyle w:val="Normal"/>
        <w:numPr>
          <w:ilvl w:val="0"/>
          <w:numId w:val="1"/>
        </w:numPr>
        <w:bidi w:val="0"/>
        <w:spacing w:lineRule="auto" w:line="247"/>
        <w:ind w:left="268" w:right="0" w:hanging="268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Il presente Patto d’integrità è un accordo fra l’Amministrazione e gli operatori economici che, ai sensi dell’art. 1 - comma 17 - della legge 6 novembre 2012, n.190, vincola i contraenti a improntare i propri comportamenti ai principi di lealtà, correttezza e trasparenza in tutte le fasi dell'appalto, dalla partecipazione alla esecuzione contrattuale.  </w:t>
      </w:r>
    </w:p>
    <w:p>
      <w:pPr>
        <w:pStyle w:val="Normal"/>
        <w:bidi w:val="0"/>
        <w:spacing w:lineRule="auto" w:line="252" w:before="0" w:after="0"/>
        <w:ind w:left="0" w:right="0" w:hanging="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1"/>
        </w:numPr>
        <w:bidi w:val="0"/>
        <w:spacing w:lineRule="auto" w:line="247"/>
        <w:ind w:left="268" w:right="0" w:hanging="268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La carenza della dichiarazione di accettazione del Patto di integrità o la mancata produzione dello stesso da parte del concorrente, sono regolarizzabili tramite la procedura di soccorso istruttorio. </w:t>
      </w:r>
    </w:p>
    <w:p>
      <w:pPr>
        <w:pStyle w:val="Normal"/>
        <w:bidi w:val="0"/>
        <w:spacing w:lineRule="auto" w:line="252" w:before="0" w:after="21"/>
        <w:ind w:left="0" w:right="0" w:hanging="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1"/>
        </w:numPr>
        <w:bidi w:val="0"/>
        <w:spacing w:lineRule="auto" w:line="247"/>
        <w:ind w:left="268" w:right="0" w:hanging="268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Gli obblighi derivanti dal presente Patto d’integrità si estendono anche: </w:t>
      </w:r>
    </w:p>
    <w:p>
      <w:pPr>
        <w:pStyle w:val="Normal"/>
        <w:numPr>
          <w:ilvl w:val="0"/>
          <w:numId w:val="2"/>
        </w:numPr>
        <w:bidi w:val="0"/>
        <w:spacing w:lineRule="auto" w:line="247"/>
        <w:ind w:left="10" w:right="0" w:hanging="1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a tutti i consorziati o partecipanti al raggruppamento o consorzio, nel caso di consorzi ordinari o raggruppamenti temporanei di imprese; </w:t>
      </w:r>
    </w:p>
    <w:p>
      <w:pPr>
        <w:pStyle w:val="Normal"/>
        <w:numPr>
          <w:ilvl w:val="0"/>
          <w:numId w:val="2"/>
        </w:numPr>
        <w:bidi w:val="0"/>
        <w:spacing w:lineRule="auto" w:line="247"/>
        <w:ind w:left="10" w:right="0" w:hanging="1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ai soggetti ausiliari degli operatori economici che, in sede di offerta, dichiarino di ricorrere all'istituto dell'avvalimento. 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</w:r>
    </w:p>
    <w:p>
      <w:pPr>
        <w:pStyle w:val="Normal"/>
        <w:spacing w:lineRule="auto" w:line="360"/>
        <w:jc w:val="center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b/>
          <w:bCs/>
          <w:color w:val="auto"/>
          <w:kern w:val="0"/>
          <w:sz w:val="22"/>
          <w:szCs w:val="22"/>
          <w:lang w:val="it-IT" w:eastAsia="it-IT" w:bidi="ar-SA"/>
        </w:rPr>
        <w:t>Art. 2. Obblighi dell’operatore economico</w:t>
      </w:r>
    </w:p>
    <w:p>
      <w:pPr>
        <w:pStyle w:val="Normal"/>
        <w:bidi w:val="0"/>
        <w:spacing w:lineRule="auto" w:line="247"/>
        <w:ind w:left="-5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1. L’operatore economico, per partecipare alla procedura si impegna a: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non attuare condotte finalizzate ad influenzare il procedimento amministrativo diretto a stabilire il contenuto del bando, o di altro atto equipollente, al fine di condizionare le modalità di scelta del contraente da parte dell’Amministrazione;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non corrispondere ad alcuno, direttamente o tramite terzi, ivi compresi soggetti collegati o controllati, somme di danaro, regali o altre utilità finalizzate a facilitare l’aggiudicazione e/o gestione del contratto;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non ricorrere ad alcuna mediazione o altra opera di terzi finalizzata all’aggiudicazione e/o esecuzione del contratto;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non trovarsi in situazioni di controllo o di collegamento (formale e/o sostanziale) con altri concorrenti e di non accordarsi con altri partecipanti alla procedura di affidamento per porre in essere intese e/o pratiche restrittive della concorrenza e del mercato vietate ai sensi della vigente normativa; 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 w:before="0" w:after="26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comunicare tempestivamente, nel corso dell'esecuzione del contratto, tutte le variazioni inerenti all’assetto dell’Impresa;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rispettare rigorosamente le disposizioni vigenti in materia di obblighi sociali e di sicurezza del lavoro;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segnalare al Responsabile della Prevenzione della Corruzione e della Trasparenza dell’Amministrazione, anche attraverso l’istituto del whistleblowing, qualsiasi tentativo di turbativa, irregolarità o distorsione nelle fasi di svolgimento della procedura o durante l’esecuzione del contratto, comprese illecite richieste o pretese dei dipendenti dell’Amministrazione stessa;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denunciare all’Autorità competente ogni tentativo di estorsione, intimidazione, pressione, condizionamento di natura criminale o ogni altra forma di illecita interferenza, intervenuti nella procedura di affidamento e/o di esecuzione del contratto;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3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informare puntualmente tutto il personale, di cui si avvale, del presente Patto di integrità e degli obblighi in esso contenuti e a vigilare affinché gli impegni sopra indicati siano osservati da tutti i collaboratori e dipendenti nell’esercizio dei compiti loro assegnati;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4"/>
        </w:numPr>
        <w:bidi w:val="0"/>
        <w:spacing w:lineRule="auto" w:line="247"/>
        <w:ind w:left="199" w:right="0" w:hanging="199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>rispettare quanto previsto all'art. 53, comma 16-</w:t>
      </w:r>
      <w:r>
        <w:rPr>
          <w:rFonts w:eastAsia="Times New Roman" w:cs="Arial" w:ascii="Arial" w:hAnsi="Arial"/>
          <w:i/>
          <w:color w:val="auto"/>
          <w:kern w:val="0"/>
          <w:sz w:val="22"/>
          <w:szCs w:val="22"/>
          <w:lang w:val="it-IT" w:eastAsia="it-IT" w:bidi="ar-SA"/>
        </w:rPr>
        <w:t xml:space="preserve">ter </w:t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del D.lgs. n. 165/2001; 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4"/>
        </w:numPr>
        <w:bidi w:val="0"/>
        <w:spacing w:lineRule="auto" w:line="247"/>
        <w:ind w:left="199" w:right="0" w:hanging="199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segnalare situazioni di conflitto di interesse, anche potenziale, di cui sia a conoscenza, relativamente al personale dell'Amministrazione;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4"/>
        </w:numPr>
        <w:bidi w:val="0"/>
        <w:spacing w:lineRule="auto" w:line="247" w:before="0" w:after="25"/>
        <w:ind w:left="199" w:right="0" w:hanging="199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sottoporre identico patto di integrità ai propri subcontraenti e subappaltatori/ausiliari, esigendone l’accettazione.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shd w:val="clear" w:color="auto" w:fill="FFFFFF"/>
        <w:bidi w:val="0"/>
        <w:spacing w:lineRule="auto" w:line="247"/>
        <w:ind w:left="-5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2. Nelle fasi successive all’aggiudicazione, gli obblighi di cui al comma 1 sono a carico dell’aggiudicatario, per quanto compatibili, a seguito dell’espresso rinvio ai contenuti del presente Patto nel contratto sottoscritto con l’Amministrazione appaltante.  </w:t>
      </w:r>
    </w:p>
    <w:p>
      <w:pPr>
        <w:pStyle w:val="Normal"/>
        <w:spacing w:lineRule="auto" w:line="360"/>
        <w:ind w:left="720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Art. 3. Obblighi dell’Amministrazione aggiudicatrice/Aziende Sanitarie AVEN</w:t>
      </w:r>
    </w:p>
    <w:p>
      <w:pPr>
        <w:pStyle w:val="Normal"/>
        <w:numPr>
          <w:ilvl w:val="0"/>
          <w:numId w:val="5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L’Amministrazione si obbliga a rispettare i principi di lealtà, trasparenza e correttezza e ad attivare i procedimenti disciplinari nei confronti del personale a vario titolo intervenuto nel procedimento di affidamento e nell’esecuzione del contratto in caso di violazione di detti principi e, in particolare, qualora riscontri la violazione dei contenuti degli articoli 4 “Regali, compensi e altre utilità”, 6 “Comunicazione degli interessi finanziari e conflitti d’interesse”, 7 “Obbligo di astensione”, 8 “Prevenzione della Corruzione”, 13 “Disposizioni particolari per i dirigenti”, 14 “Contratti e altri atti negoziali” del Codice di comportamento dei dipendenti pubblici D.P.R.16.04.2013, n.62 e delle corrispondenti disposizioni del Codice di comportamento della Regione Emilia-Romagna. </w:t>
      </w:r>
    </w:p>
    <w:p>
      <w:pPr>
        <w:pStyle w:val="Normal"/>
        <w:numPr>
          <w:ilvl w:val="0"/>
          <w:numId w:val="0"/>
        </w:numPr>
        <w:bidi w:val="0"/>
        <w:spacing w:lineRule="auto" w:line="252" w:before="0" w:after="12"/>
        <w:ind w:left="1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</w:r>
    </w:p>
    <w:p>
      <w:pPr>
        <w:pStyle w:val="Normal"/>
        <w:numPr>
          <w:ilvl w:val="0"/>
          <w:numId w:val="5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In particolare, l’Amministrazione assume l’impegno di non offrire, accettare o richiedere somme di denaro o qualsiasi altra ricompensa, vantaggio o beneficio, sia direttamente che indirettamente tramite intermediari, al fine dell'assegnazione del contratto e/o al fine di distorcerne la relativa corretta esecuzione. </w:t>
      </w:r>
    </w:p>
    <w:p>
      <w:pPr>
        <w:pStyle w:val="Normal"/>
        <w:numPr>
          <w:ilvl w:val="0"/>
          <w:numId w:val="0"/>
        </w:numPr>
        <w:bidi w:val="0"/>
        <w:spacing w:lineRule="auto" w:line="252" w:before="0" w:after="0"/>
        <w:ind w:left="1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</w:r>
    </w:p>
    <w:p>
      <w:pPr>
        <w:pStyle w:val="Normal"/>
        <w:widowControl/>
        <w:numPr>
          <w:ilvl w:val="0"/>
          <w:numId w:val="5"/>
        </w:numPr>
        <w:suppressAutoHyphens w:val="true"/>
        <w:bidi w:val="0"/>
        <w:spacing w:lineRule="auto" w:line="247" w:before="0" w:after="0"/>
        <w:ind w:left="0" w:right="0" w:hanging="0"/>
        <w:jc w:val="both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L’Amministrazione si impegna inoltre a diffondere puntualmente la conoscenza del Patto d’integrità tra il proprio personale, i propri collaboratori e consulenti, a qualsiasi titolo impiegati nell’espletamento delle procedure di affidamento e nell’esecuzione dei relativi contratti.  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Art. 4. Violazione del Patto di integrità</w:t>
      </w:r>
    </w:p>
    <w:p>
      <w:pPr>
        <w:pStyle w:val="Normal"/>
        <w:numPr>
          <w:ilvl w:val="0"/>
          <w:numId w:val="6"/>
        </w:numPr>
        <w:bidi w:val="0"/>
        <w:spacing w:lineRule="auto" w:line="247" w:before="0" w:after="26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La violazione del Patto di integrità è dichiarata in esito ad un procedimento di verifica in cui venga garantito adeguato contraddittorio con l’operatore economico interessato. </w:t>
      </w:r>
    </w:p>
    <w:p>
      <w:pPr>
        <w:pStyle w:val="Normal"/>
        <w:bidi w:val="0"/>
        <w:spacing w:lineRule="auto" w:line="252" w:before="0" w:after="2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numPr>
          <w:ilvl w:val="0"/>
          <w:numId w:val="6"/>
        </w:numPr>
        <w:bidi w:val="0"/>
        <w:spacing w:lineRule="auto" w:line="247"/>
        <w:ind w:left="10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La violazione da parte dell’operatore economico, sia in veste di concorrente che di aggiudicatario, di uno degli impegni previsti a suo carico dall’articolo 2, può comportare, secondo la gravità della violazione e la fase in cui la stessa è accertata:  a)  l’esclusione dalla procedura di affidamento; </w:t>
      </w:r>
    </w:p>
    <w:p>
      <w:pPr>
        <w:pStyle w:val="Normal"/>
        <w:bidi w:val="0"/>
        <w:spacing w:lineRule="auto" w:line="247"/>
        <w:ind w:left="-5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b)  la risoluzione di diritto dal contratto. </w:t>
      </w:r>
    </w:p>
    <w:p>
      <w:pPr>
        <w:pStyle w:val="Normal"/>
        <w:bidi w:val="0"/>
        <w:spacing w:lineRule="auto" w:line="252" w:before="0" w:after="0"/>
        <w:ind w:left="0" w:right="0" w:hanging="0"/>
        <w:jc w:val="left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 </w:t>
      </w:r>
    </w:p>
    <w:p>
      <w:pPr>
        <w:pStyle w:val="Normal"/>
        <w:bidi w:val="0"/>
        <w:spacing w:lineRule="auto" w:line="247"/>
        <w:ind w:left="-5" w:right="0" w:hanging="10"/>
        <w:rPr>
          <w:rFonts w:ascii="Arial" w:hAnsi="Arial" w:eastAsia="Times New Roman" w:cs="Arial"/>
          <w:color w:val="auto"/>
          <w:kern w:val="0"/>
          <w:sz w:val="22"/>
          <w:szCs w:val="22"/>
          <w:lang w:val="it-IT" w:eastAsia="it-IT" w:bidi="ar-SA"/>
        </w:rPr>
      </w:pP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3. Resta ferma la facoltà per l'Amministrazione di non avvalersi della risoluzione del contratto qualora lo ritenga pregiudizievole per gli interessi pubblici sottesi al </w:t>
      </w:r>
      <w:r>
        <w:rPr/>
        <w:drawing>
          <wp:inline distT="0" distB="0" distL="0" distR="0">
            <wp:extent cx="14605" cy="14605"/>
            <wp:effectExtent l="0" t="0" r="0" b="0"/>
            <wp:docPr id="2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 w:cs="Arial" w:ascii="Arial" w:hAnsi="Arial"/>
          <w:color w:val="auto"/>
          <w:kern w:val="0"/>
          <w:sz w:val="22"/>
          <w:szCs w:val="22"/>
          <w:lang w:val="it-IT" w:eastAsia="it-IT" w:bidi="ar-SA"/>
        </w:rPr>
        <w:t xml:space="preserve">contratto ai sensi dell’art. 121, comma 2, del d.lgs. n. 104/2010. Sono fatti salvi, in ogni caso, l'eventuale diritto al risarcimento del danno e l'applicazione di eventuali penali. 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sz w:val="22"/>
          <w:szCs w:val="22"/>
        </w:rPr>
        <w:t>Art. 5. Efficacia del patto di integrità</w:t>
      </w:r>
    </w:p>
    <w:p>
      <w:pPr>
        <w:pStyle w:val="Normal"/>
        <w:spacing w:lineRule="auto" w:line="360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Il Patto di Integrità e le sanzioni applicabili resteranno in vigore sino alla completa esecuzione del contratto assegnato a seguito della procedura di affidamento.</w:t>
      </w:r>
    </w:p>
    <w:p>
      <w:pPr>
        <w:pStyle w:val="Normal"/>
        <w:widowControl w:val="false"/>
        <w:spacing w:lineRule="auto" w:line="360" w:before="120" w:after="120"/>
        <w:ind w:left="4500" w:hanging="0"/>
        <w:jc w:val="center"/>
        <w:textAlignment w:val="baseline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__________________________</w:t>
      </w:r>
    </w:p>
    <w:p>
      <w:pPr>
        <w:pStyle w:val="Normal"/>
        <w:widowControl w:val="false"/>
        <w:spacing w:lineRule="auto" w:line="360" w:before="120" w:after="120"/>
        <w:jc w:val="right"/>
        <w:textAlignment w:val="baseline"/>
        <w:rPr>
          <w:rFonts w:ascii="Arial" w:hAnsi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(firmato digitalmente dal titolare/rappresentante legale)</w:t>
      </w:r>
    </w:p>
    <w:sectPr>
      <w:headerReference w:type="default" r:id="rId4"/>
      <w:footerReference w:type="default" r:id="rId5"/>
      <w:type w:val="nextPage"/>
      <w:pgSz w:w="11906" w:h="16838"/>
      <w:pgMar w:left="1134" w:right="1134" w:header="709" w:top="1418" w:footer="709" w:bottom="1134" w:gutter="0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pBdr>
        <w:top w:val="single" w:sz="4" w:space="1" w:color="000000"/>
      </w:pBdr>
      <w:tabs>
        <w:tab w:val="clear" w:pos="4819"/>
        <w:tab w:val="right" w:pos="9638" w:leader="none"/>
      </w:tabs>
      <w:suppressAutoHyphens w:val="true"/>
      <w:jc w:val="both"/>
      <w:rPr/>
    </w:pPr>
    <w:r>
      <w:rPr>
        <w:rFonts w:cs="Arial" w:ascii="Arial" w:hAnsi="Arial"/>
        <w:i/>
        <w:lang w:val="x-none" w:eastAsia="ar-SA"/>
      </w:rPr>
      <w:t xml:space="preserve">Allegato </w:t>
    </w:r>
    <w:r>
      <w:rPr>
        <w:rFonts w:cs="Arial" w:ascii="Arial" w:hAnsi="Arial"/>
        <w:i/>
        <w:lang w:eastAsia="ar-SA"/>
      </w:rPr>
      <w:t>7</w:t>
    </w:r>
    <w:r>
      <w:rPr>
        <w:rFonts w:cs="Arial" w:ascii="Arial" w:hAnsi="Arial"/>
        <w:i/>
        <w:lang w:val="x-none" w:eastAsia="ar-SA"/>
      </w:rPr>
      <w:t xml:space="preserve"> – Patto di integrità</w:t>
      <w:tab/>
      <w:t xml:space="preserve">Pagina </w:t>
    </w:r>
    <w:r>
      <w:rPr>
        <w:rFonts w:cs="Arial" w:ascii="Arial" w:hAnsi="Arial"/>
        <w:i/>
        <w:lang w:val="x-none" w:eastAsia="ar-SA"/>
      </w:rPr>
      <w:fldChar w:fldCharType="begin"/>
    </w:r>
    <w:r>
      <w:rPr>
        <w:i/>
        <w:rFonts w:cs="Arial" w:ascii="Arial" w:hAnsi="Arial"/>
        <w:lang w:val="x-none" w:eastAsia="ar-SA"/>
      </w:rPr>
      <w:instrText> PAGE </w:instrText>
    </w:r>
    <w:r>
      <w:rPr>
        <w:i/>
        <w:rFonts w:cs="Arial" w:ascii="Arial" w:hAnsi="Arial"/>
        <w:lang w:val="x-none" w:eastAsia="ar-SA"/>
      </w:rPr>
      <w:fldChar w:fldCharType="separate"/>
    </w:r>
    <w:r>
      <w:rPr>
        <w:i/>
        <w:rFonts w:cs="Arial" w:ascii="Arial" w:hAnsi="Arial"/>
        <w:lang w:val="x-none" w:eastAsia="ar-SA"/>
      </w:rPr>
      <w:t>4</w:t>
    </w:r>
    <w:r>
      <w:rPr>
        <w:i/>
        <w:rFonts w:cs="Arial" w:ascii="Arial" w:hAnsi="Arial"/>
        <w:lang w:val="x-none" w:eastAsia="ar-SA"/>
      </w:rPr>
      <w:fldChar w:fldCharType="end"/>
    </w:r>
    <w:r>
      <w:rPr>
        <w:rFonts w:cs="Arial" w:ascii="Arial" w:hAnsi="Arial"/>
        <w:i/>
        <w:lang w:val="x-none" w:eastAsia="ar-SA"/>
      </w:rPr>
      <w:t xml:space="preserve"> di 4</w:t>
    </w:r>
  </w:p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i/>
        <w:i/>
      </w:rPr>
    </w:pPr>
    <w:r>
      <w:rPr>
        <w:i/>
      </w:rPr>
    </w:r>
  </w:p>
  <w:p>
    <w:pPr>
      <w:pStyle w:val="Normal"/>
      <w:pBdr>
        <w:bottom w:val="single" w:sz="4" w:space="1" w:color="000000"/>
      </w:pBdr>
      <w:tabs>
        <w:tab w:val="clear" w:pos="708"/>
        <w:tab w:val="center" w:pos="4986" w:leader="none"/>
        <w:tab w:val="right" w:pos="9972" w:leader="none"/>
      </w:tabs>
      <w:spacing w:lineRule="auto" w:line="240" w:before="0" w:after="100"/>
      <w:jc w:val="left"/>
      <w:rPr>
        <w:rFonts w:ascii="Arial" w:hAnsi="Arial" w:eastAsia="Calibri" w:cs="Arial"/>
        <w:i/>
        <w:i/>
        <w:sz w:val="20"/>
        <w:szCs w:val="20"/>
      </w:rPr>
    </w:pPr>
    <w:r>
      <w:rPr>
        <w:rFonts w:eastAsia="Calibri" w:cs="Arial" w:ascii="Arial" w:hAnsi="Arial"/>
        <w:i/>
        <w:sz w:val="20"/>
        <w:szCs w:val="20"/>
      </w:rPr>
      <w:t>Procedura aperta per l’affidamento di protesi odontoiatriche, apparecchi ortodontici, scanner intraorali e materiale ortodontico</w:t>
    </w:r>
  </w:p>
  <w:p>
    <w:pPr>
      <w:pStyle w:val="Intestazione"/>
      <w:rPr>
        <w:szCs w:val="24"/>
      </w:rPr>
    </w:pPr>
    <w:r>
      <w:rPr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268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0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10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4">
    <w:lvl w:ilvl="0">
      <w:start w:val="12"/>
      <w:numFmt w:val="lowerLetter"/>
      <w:lvlText w:val="%1)"/>
      <w:lvlJc w:val="left"/>
      <w:pPr>
        <w:tabs>
          <w:tab w:val="num" w:pos="0"/>
        </w:tabs>
        <w:ind w:left="199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0" w:hanging="0"/>
      </w:pPr>
      <w:rPr>
        <w:rFonts w:eastAsia="Arial" w:cs="Arial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rFonts w:eastAsia="Arial" w:cs="Arial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rFonts w:eastAsia="Arial" w:cs="Arial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rFonts w:eastAsia="Arial" w:cs="Arial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rFonts w:eastAsia="Arial" w:cs="Arial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rFonts w:eastAsia="Arial" w:cs="Arial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rFonts w:eastAsia="Arial" w:cs="Arial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rFonts w:eastAsia="Arial" w:cs="Arial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rFonts w:eastAsia="Arial" w:cs="Arial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lock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993b9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993b9a"/>
    <w:pPr>
      <w:keepNext w:val="true"/>
      <w:jc w:val="center"/>
      <w:outlineLvl w:val="0"/>
    </w:pPr>
    <w:rPr>
      <w:sz w:val="24"/>
    </w:rPr>
  </w:style>
  <w:style w:type="paragraph" w:styleId="Titolo2">
    <w:name w:val="Heading 2"/>
    <w:basedOn w:val="Normal"/>
    <w:next w:val="Normal"/>
    <w:link w:val="Titolo2Carattere"/>
    <w:qFormat/>
    <w:rsid w:val="00993b9a"/>
    <w:pPr>
      <w:keepNext w:val="true"/>
      <w:ind w:firstLine="709"/>
      <w:jc w:val="both"/>
      <w:outlineLvl w:val="1"/>
    </w:pPr>
    <w:rPr>
      <w:sz w:val="24"/>
    </w:rPr>
  </w:style>
  <w:style w:type="paragraph" w:styleId="Titolo3">
    <w:name w:val="Heading 3"/>
    <w:basedOn w:val="Normal"/>
    <w:next w:val="Normal"/>
    <w:link w:val="Titolo3Carattere"/>
    <w:qFormat/>
    <w:rsid w:val="00993b9a"/>
    <w:pPr>
      <w:keepNext w:val="true"/>
      <w:spacing w:before="240" w:after="60"/>
      <w:jc w:val="both"/>
      <w:outlineLvl w:val="2"/>
    </w:pPr>
    <w:rPr>
      <w:rFonts w:ascii="Arial" w:hAnsi="Arial" w:eastAsia="Batang"/>
      <w:b/>
      <w:sz w:val="26"/>
      <w:lang w:eastAsia="ko-K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link w:val="Titolo1"/>
    <w:qFormat/>
    <w:locked/>
    <w:rsid w:val="00993b9a"/>
    <w:rPr>
      <w:rFonts w:cs="Times New Roman"/>
      <w:sz w:val="24"/>
      <w:lang w:val="x-none" w:eastAsia="it-IT"/>
    </w:rPr>
  </w:style>
  <w:style w:type="character" w:styleId="Heading2Char" w:customStyle="1">
    <w:name w:val="Heading 2 Char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semiHidden/>
    <w:qFormat/>
    <w:locked/>
    <w:rPr>
      <w:rFonts w:ascii="Cambria" w:hAnsi="Cambria" w:cs="Times New Roman"/>
      <w:b/>
      <w:bCs/>
      <w:sz w:val="26"/>
      <w:szCs w:val="26"/>
    </w:rPr>
  </w:style>
  <w:style w:type="character" w:styleId="Titolo2Carattere" w:customStyle="1">
    <w:name w:val="Titolo 2 Carattere"/>
    <w:link w:val="Titolo2"/>
    <w:qFormat/>
    <w:locked/>
    <w:rsid w:val="00993b9a"/>
    <w:rPr>
      <w:rFonts w:cs="Times New Roman"/>
      <w:sz w:val="24"/>
      <w:lang w:val="x-none" w:eastAsia="it-IT"/>
    </w:rPr>
  </w:style>
  <w:style w:type="character" w:styleId="Titolo3Carattere" w:customStyle="1">
    <w:name w:val="Titolo 3 Carattere"/>
    <w:link w:val="Titolo3"/>
    <w:qFormat/>
    <w:locked/>
    <w:rsid w:val="00993b9a"/>
    <w:rPr>
      <w:rFonts w:ascii="Arial" w:hAnsi="Arial" w:eastAsia="Batang" w:cs="Times New Roman"/>
      <w:b/>
      <w:sz w:val="26"/>
      <w:lang w:val="x-none" w:eastAsia="ko-KR"/>
    </w:rPr>
  </w:style>
  <w:style w:type="character" w:styleId="TitoloCarattere" w:customStyle="1">
    <w:name w:val="Titolo Carattere"/>
    <w:link w:val="Titolo"/>
    <w:qFormat/>
    <w:locked/>
    <w:rsid w:val="00993b9a"/>
    <w:rPr>
      <w:rFonts w:cs="Times New Roman"/>
      <w:b/>
      <w:i/>
      <w:sz w:val="28"/>
      <w:lang w:val="x-none" w:eastAsia="ko-KR"/>
    </w:rPr>
  </w:style>
  <w:style w:type="character" w:styleId="TestofumettoCarattere" w:customStyle="1">
    <w:name w:val="Testo fumetto Carattere"/>
    <w:link w:val="Testofumetto"/>
    <w:semiHidden/>
    <w:qFormat/>
    <w:locked/>
    <w:rsid w:val="00ff6f3d"/>
    <w:rPr>
      <w:rFonts w:ascii="Tahoma" w:hAnsi="Tahoma" w:cs="Tahoma"/>
      <w:sz w:val="16"/>
      <w:szCs w:val="16"/>
      <w:lang w:val="x-none" w:eastAsia="it-IT"/>
    </w:rPr>
  </w:style>
  <w:style w:type="character" w:styleId="TestonotaapidipaginaCarattere" w:customStyle="1">
    <w:name w:val="Testo nota a piè di pagina Carattere"/>
    <w:link w:val="Testonotaapidipagina"/>
    <w:semiHidden/>
    <w:qFormat/>
    <w:locked/>
    <w:rsid w:val="00121c22"/>
    <w:rPr>
      <w:rFonts w:cs="Times New Roman"/>
      <w:lang w:val="x-none" w:eastAsia="it-IT"/>
    </w:rPr>
  </w:style>
  <w:style w:type="character" w:styleId="Richiamoallanotaapidipagina">
    <w:name w:val="Richiamo alla nota a piè di pagina"/>
    <w:rPr>
      <w:rFonts w:cs="Times New Roman"/>
      <w:color w:val="000000"/>
      <w:sz w:val="16"/>
      <w:vertAlign w:val="superscript"/>
    </w:rPr>
  </w:style>
  <w:style w:type="character" w:styleId="FootnoteCharacters">
    <w:name w:val="Footnote Characters"/>
    <w:semiHidden/>
    <w:qFormat/>
    <w:rsid w:val="00121c22"/>
    <w:rPr>
      <w:rFonts w:cs="Times New Roman"/>
      <w:color w:val="000000"/>
      <w:sz w:val="16"/>
    </w:rPr>
  </w:style>
  <w:style w:type="character" w:styleId="IntestazioneCarattere" w:customStyle="1">
    <w:name w:val="Intestazione Carattere"/>
    <w:link w:val="Intestazione"/>
    <w:qFormat/>
    <w:locked/>
    <w:rsid w:val="00fa2467"/>
    <w:rPr>
      <w:rFonts w:cs="Times New Roman"/>
      <w:lang w:val="x-none" w:eastAsia="it-IT"/>
    </w:rPr>
  </w:style>
  <w:style w:type="character" w:styleId="PidipaginaCarattere" w:customStyle="1">
    <w:name w:val="Piè di pagina Carattere"/>
    <w:link w:val="Pidipagina"/>
    <w:qFormat/>
    <w:locked/>
    <w:rsid w:val="00fa2467"/>
    <w:rPr>
      <w:rFonts w:cs="Times New Roman"/>
      <w:lang w:val="x-none" w:eastAsia="it-IT"/>
    </w:rPr>
  </w:style>
  <w:style w:type="character" w:styleId="Pagenumber">
    <w:name w:val="page number"/>
    <w:basedOn w:val="DefaultParagraphFont"/>
    <w:qFormat/>
    <w:rsid w:val="00d84c47"/>
    <w:rPr/>
  </w:style>
  <w:style w:type="character" w:styleId="CorpotestoCarattere" w:customStyle="1">
    <w:name w:val="Corpo testo Carattere"/>
    <w:basedOn w:val="DefaultParagraphFont"/>
    <w:link w:val="Corpotesto"/>
    <w:qFormat/>
    <w:rsid w:val="00876dac"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rsid w:val="00876dac"/>
    <w:pPr>
      <w:jc w:val="both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link w:val="TitoloCarattere"/>
    <w:qFormat/>
    <w:rsid w:val="00993b9a"/>
    <w:pPr>
      <w:spacing w:lineRule="exact" w:line="320" w:before="60" w:after="60"/>
      <w:jc w:val="center"/>
    </w:pPr>
    <w:rPr>
      <w:b/>
      <w:i/>
      <w:sz w:val="28"/>
      <w:lang w:eastAsia="ko-KR"/>
    </w:rPr>
  </w:style>
  <w:style w:type="paragraph" w:styleId="Paragrafoelenco1" w:customStyle="1">
    <w:name w:val="Paragrafo elenco1"/>
    <w:basedOn w:val="Normal"/>
    <w:qFormat/>
    <w:rsid w:val="00993b9a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TestofumettoCarattere"/>
    <w:semiHidden/>
    <w:qFormat/>
    <w:rsid w:val="00ff6f3d"/>
    <w:pPr/>
    <w:rPr>
      <w:rFonts w:ascii="Tahoma" w:hAnsi="Tahoma" w:cs="Tahoma"/>
      <w:sz w:val="16"/>
      <w:szCs w:val="16"/>
    </w:rPr>
  </w:style>
  <w:style w:type="paragraph" w:styleId="Notaapidipagina">
    <w:name w:val="Footnote Text"/>
    <w:basedOn w:val="Normal"/>
    <w:link w:val="TestonotaapidipaginaCarattere"/>
    <w:semiHidden/>
    <w:rsid w:val="00121c22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fa2467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rsid w:val="00fa2467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mbria Math" w:cs="Times New Roman"/>
      <w:color w:val="auto"/>
      <w:kern w:val="0"/>
      <w:sz w:val="20"/>
      <w:szCs w:val="20"/>
      <w:lang w:val="it-IT" w:eastAsia="it-IT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76F897B241A744A84031D7D0E82D88" ma:contentTypeVersion="0" ma:contentTypeDescription="Creare un nuovo documento." ma:contentTypeScope="" ma:versionID="d750024d045d5836386af1523a66107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385909-0234-4045-ABA1-72D6F185A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EA77AB-6812-4DD1-BB06-C37C31296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159A8E-3BBA-4E8B-9C88-BD8E7D88294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LibreOffice/6.4.7.2$Windows_X86_64 LibreOffice_project/639b8ac485750d5696d7590a72ef1b496725cfb5</Application>
  <Pages>4</Pages>
  <Words>1025</Words>
  <Characters>6659</Characters>
  <CharactersWithSpaces>7673</CharactersWithSpaces>
  <Paragraphs>65</Paragraphs>
  <Company>Regione Emilia-Romagna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2022-07-27T12:46:00Z</dcterms:created>
  <dc:creator>Ghelfi Ivana</dc:creator>
  <dc:description/>
  <dc:language>it-IT</dc:language>
  <cp:lastModifiedBy/>
  <cp:lastPrinted>2015-09-17T06:43:00Z</cp:lastPrinted>
  <dcterms:modified xsi:type="dcterms:W3CDTF">2022-09-14T21:55:45Z</dcterms:modified>
  <cp:revision>10</cp:revision>
  <dc:subject/>
  <dc:title>ALLEGATO da inserire in busta 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Regione Emilia-Romagna</vt:lpwstr>
  </property>
  <property fmtid="{D5CDD505-2E9C-101B-9397-08002B2CF9AE}" pid="4" name="ContentTypeId">
    <vt:lpwstr>0x0101008B76F897B241A744A84031D7D0E82D88</vt:lpwstr>
  </property>
  <property fmtid="{D5CDD505-2E9C-101B-9397-08002B2CF9AE}" pid="5" name="DocSecurity">
    <vt:i4>4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