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6EE75D4" w14:textId="77777777" w:rsidR="00E27519" w:rsidRDefault="00E27519">
      <w:pPr>
        <w:jc w:val="center"/>
        <w:rPr>
          <w:b/>
          <w:sz w:val="28"/>
          <w:szCs w:val="28"/>
        </w:rPr>
      </w:pPr>
    </w:p>
    <w:p w14:paraId="5734AF78" w14:textId="77777777" w:rsidR="00E27519" w:rsidRDefault="00E27519">
      <w:pPr>
        <w:jc w:val="center"/>
        <w:rPr>
          <w:b/>
          <w:sz w:val="28"/>
          <w:szCs w:val="28"/>
        </w:rPr>
      </w:pPr>
    </w:p>
    <w:p w14:paraId="1B3C8056" w14:textId="0720C589" w:rsidR="00E27519" w:rsidRDefault="00E27519">
      <w:pPr>
        <w:jc w:val="center"/>
        <w:rPr>
          <w:b/>
          <w:sz w:val="28"/>
          <w:szCs w:val="28"/>
        </w:rPr>
      </w:pPr>
    </w:p>
    <w:p w14:paraId="7B1432BD" w14:textId="77777777" w:rsidR="00E27519" w:rsidRDefault="00E27519">
      <w:pPr>
        <w:jc w:val="center"/>
        <w:rPr>
          <w:b/>
          <w:sz w:val="28"/>
          <w:szCs w:val="28"/>
        </w:rPr>
      </w:pPr>
    </w:p>
    <w:p w14:paraId="50EB7226" w14:textId="77777777" w:rsidR="00E27519" w:rsidRDefault="00E27519">
      <w:pPr>
        <w:jc w:val="center"/>
        <w:rPr>
          <w:b/>
          <w:sz w:val="28"/>
          <w:szCs w:val="28"/>
        </w:rPr>
      </w:pPr>
    </w:p>
    <w:p w14:paraId="7386EE73" w14:textId="77777777" w:rsidR="00E27519" w:rsidRDefault="00E27519">
      <w:pPr>
        <w:jc w:val="center"/>
        <w:rPr>
          <w:b/>
          <w:sz w:val="28"/>
          <w:szCs w:val="28"/>
        </w:rPr>
      </w:pPr>
    </w:p>
    <w:p w14:paraId="1A769908" w14:textId="77777777" w:rsidR="00E27519" w:rsidRDefault="00E27519">
      <w:pPr>
        <w:jc w:val="center"/>
        <w:rPr>
          <w:b/>
          <w:sz w:val="28"/>
          <w:szCs w:val="28"/>
        </w:rPr>
      </w:pPr>
    </w:p>
    <w:p w14:paraId="52D98712" w14:textId="77777777" w:rsidR="00E27519" w:rsidRDefault="00E27519">
      <w:pPr>
        <w:jc w:val="center"/>
        <w:rPr>
          <w:b/>
          <w:sz w:val="28"/>
          <w:szCs w:val="28"/>
        </w:rPr>
      </w:pPr>
    </w:p>
    <w:p w14:paraId="7E1F9C18" w14:textId="77777777" w:rsidR="00E27519" w:rsidRDefault="0003178C">
      <w:pPr>
        <w:jc w:val="center"/>
        <w:rPr>
          <w:b/>
          <w:sz w:val="72"/>
          <w:szCs w:val="72"/>
        </w:rPr>
      </w:pPr>
      <w:r>
        <w:rPr>
          <w:b/>
          <w:sz w:val="72"/>
          <w:szCs w:val="72"/>
        </w:rPr>
        <w:t>Relazione sulla Performance</w:t>
      </w:r>
    </w:p>
    <w:p w14:paraId="1DB44DC4" w14:textId="77777777" w:rsidR="00E27519" w:rsidRDefault="00E27519">
      <w:pPr>
        <w:jc w:val="center"/>
        <w:rPr>
          <w:b/>
          <w:sz w:val="72"/>
          <w:szCs w:val="72"/>
        </w:rPr>
      </w:pPr>
    </w:p>
    <w:p w14:paraId="29181439" w14:textId="77777777" w:rsidR="00E27519" w:rsidRDefault="0003178C">
      <w:pPr>
        <w:jc w:val="center"/>
        <w:rPr>
          <w:b/>
          <w:sz w:val="72"/>
          <w:szCs w:val="72"/>
        </w:rPr>
      </w:pPr>
      <w:r>
        <w:rPr>
          <w:b/>
          <w:sz w:val="72"/>
          <w:szCs w:val="72"/>
        </w:rPr>
        <w:t>2016</w:t>
      </w:r>
    </w:p>
    <w:p w14:paraId="1BCC9524" w14:textId="77777777" w:rsidR="00E27519" w:rsidRDefault="00E27519">
      <w:pPr>
        <w:jc w:val="center"/>
        <w:rPr>
          <w:b/>
          <w:sz w:val="72"/>
          <w:szCs w:val="72"/>
        </w:rPr>
      </w:pPr>
    </w:p>
    <w:p w14:paraId="2D2B1D1E" w14:textId="77777777" w:rsidR="00E27519" w:rsidRDefault="00E27519">
      <w:pPr>
        <w:jc w:val="center"/>
        <w:rPr>
          <w:b/>
          <w:sz w:val="28"/>
          <w:szCs w:val="28"/>
        </w:rPr>
      </w:pPr>
    </w:p>
    <w:p w14:paraId="3900647B" w14:textId="77777777" w:rsidR="00172D89" w:rsidRDefault="00172D89">
      <w:pPr>
        <w:jc w:val="center"/>
        <w:rPr>
          <w:b/>
          <w:sz w:val="28"/>
          <w:szCs w:val="28"/>
        </w:rPr>
      </w:pPr>
    </w:p>
    <w:p w14:paraId="6D00586C" w14:textId="77777777" w:rsidR="00E27519" w:rsidRDefault="00E27519">
      <w:pPr>
        <w:jc w:val="center"/>
        <w:rPr>
          <w:b/>
          <w:sz w:val="28"/>
          <w:szCs w:val="28"/>
        </w:rPr>
      </w:pPr>
    </w:p>
    <w:p w14:paraId="414D1DD9" w14:textId="77777777" w:rsidR="00E27519" w:rsidRDefault="00E27519">
      <w:pPr>
        <w:jc w:val="center"/>
        <w:rPr>
          <w:b/>
          <w:sz w:val="28"/>
          <w:szCs w:val="28"/>
        </w:rPr>
      </w:pPr>
    </w:p>
    <w:p w14:paraId="6CECD0B9" w14:textId="09EF363C" w:rsidR="00E27519" w:rsidRPr="00172D89" w:rsidRDefault="00172D89">
      <w:pPr>
        <w:jc w:val="center"/>
        <w:rPr>
          <w:sz w:val="28"/>
          <w:szCs w:val="28"/>
        </w:rPr>
      </w:pPr>
      <w:r w:rsidRPr="00172D89">
        <w:rPr>
          <w:sz w:val="28"/>
          <w:szCs w:val="28"/>
        </w:rPr>
        <w:t>30 giugno 2017</w:t>
      </w:r>
    </w:p>
    <w:p w14:paraId="5410321B" w14:textId="77777777" w:rsidR="00E27519" w:rsidRDefault="0003178C">
      <w:pPr>
        <w:suppressAutoHyphens w:val="0"/>
        <w:spacing w:before="0"/>
        <w:rPr>
          <w:rFonts w:ascii="Cambria" w:hAnsi="Cambria" w:cs="Cambria"/>
          <w:b/>
          <w:smallCaps/>
          <w:sz w:val="26"/>
          <w:szCs w:val="22"/>
        </w:rPr>
      </w:pPr>
      <w:r>
        <w:br w:type="page"/>
      </w:r>
    </w:p>
    <w:p w14:paraId="0C5F1B0A" w14:textId="77777777" w:rsidR="00E27519" w:rsidRDefault="0003178C">
      <w:pPr>
        <w:rPr>
          <w:b/>
          <w:bCs/>
        </w:rPr>
      </w:pPr>
      <w:r>
        <w:rPr>
          <w:bCs/>
        </w:rPr>
        <w:lastRenderedPageBreak/>
        <w:tab/>
      </w:r>
      <w:r>
        <w:rPr>
          <w:bCs/>
        </w:rPr>
        <w:tab/>
      </w:r>
      <w:r>
        <w:rPr>
          <w:bCs/>
        </w:rPr>
        <w:tab/>
      </w:r>
      <w:r>
        <w:rPr>
          <w:bCs/>
        </w:rPr>
        <w:tab/>
      </w:r>
      <w:r>
        <w:rPr>
          <w:bCs/>
        </w:rPr>
        <w:tab/>
      </w:r>
    </w:p>
    <w:bookmarkStart w:id="0" w:name="_Toc486415618" w:displacedByCustomXml="next"/>
    <w:bookmarkStart w:id="1" w:name="_Toc486415527" w:displacedByCustomXml="next"/>
    <w:bookmarkStart w:id="2" w:name="_Toc483824420" w:displacedByCustomXml="next"/>
    <w:bookmarkStart w:id="3" w:name="_Toc483819270" w:displacedByCustomXml="next"/>
    <w:bookmarkStart w:id="4" w:name="_Toc462861711" w:displacedByCustomXml="next"/>
    <w:sdt>
      <w:sdtPr>
        <w:rPr>
          <w:rFonts w:ascii="Calibri" w:hAnsi="Calibri" w:cs="Calibri"/>
          <w:b w:val="0"/>
          <w:bCs w:val="0"/>
          <w:color w:val="auto"/>
          <w:sz w:val="22"/>
          <w:szCs w:val="20"/>
          <w:lang w:eastAsia="hi-IN" w:bidi="hi-IN"/>
        </w:rPr>
        <w:id w:val="253854566"/>
      </w:sdtPr>
      <w:sdtEndPr/>
      <w:sdtContent>
        <w:p w14:paraId="379D1152" w14:textId="77777777" w:rsidR="00E27519" w:rsidRDefault="0003178C">
          <w:pPr>
            <w:pStyle w:val="Titolosommario1"/>
            <w:rPr>
              <w:rFonts w:ascii="Calibri" w:eastAsia="Calibri" w:hAnsi="Calibri" w:cs="Calibri"/>
              <w:bCs w:val="0"/>
              <w:color w:val="auto"/>
              <w:szCs w:val="20"/>
              <w:lang w:eastAsia="en-US" w:bidi="hi-IN"/>
            </w:rPr>
          </w:pPr>
          <w:r>
            <w:rPr>
              <w:rFonts w:ascii="Calibri" w:eastAsia="Calibri" w:hAnsi="Calibri" w:cs="Calibri"/>
              <w:bCs w:val="0"/>
              <w:color w:val="auto"/>
              <w:szCs w:val="20"/>
              <w:lang w:eastAsia="en-US" w:bidi="hi-IN"/>
            </w:rPr>
            <w:t>Sommario</w:t>
          </w:r>
          <w:bookmarkEnd w:id="4"/>
          <w:bookmarkEnd w:id="3"/>
          <w:bookmarkEnd w:id="2"/>
          <w:bookmarkEnd w:id="1"/>
          <w:bookmarkEnd w:id="0"/>
        </w:p>
        <w:p w14:paraId="39BBF0D5" w14:textId="77777777" w:rsidR="00172D89" w:rsidRDefault="0003178C">
          <w:pPr>
            <w:pStyle w:val="Sommario1"/>
            <w:rPr>
              <w:rFonts w:asciiTheme="minorHAnsi" w:eastAsiaTheme="minorEastAsia" w:hAnsiTheme="minorHAnsi" w:cstheme="minorBidi"/>
              <w:noProof/>
              <w:szCs w:val="22"/>
              <w:lang w:eastAsia="it-IT" w:bidi="ar-SA"/>
            </w:rPr>
          </w:pPr>
          <w:r>
            <w:fldChar w:fldCharType="begin"/>
          </w:r>
          <w:r>
            <w:instrText>TOC \z \o "1-3" \u \h</w:instrText>
          </w:r>
          <w:r>
            <w:fldChar w:fldCharType="separate"/>
          </w:r>
          <w:hyperlink w:anchor="_Toc486415618" w:history="1">
            <w:r w:rsidR="00172D89" w:rsidRPr="00BF51AB">
              <w:rPr>
                <w:rStyle w:val="Collegamentoipertestuale"/>
                <w:rFonts w:eastAsia="Calibri" w:cs="Calibri"/>
                <w:noProof/>
                <w:lang w:eastAsia="en-US"/>
              </w:rPr>
              <w:t>Sommario</w:t>
            </w:r>
            <w:r w:rsidR="00172D89">
              <w:rPr>
                <w:noProof/>
                <w:webHidden/>
              </w:rPr>
              <w:tab/>
            </w:r>
            <w:r w:rsidR="00172D89">
              <w:rPr>
                <w:noProof/>
                <w:webHidden/>
              </w:rPr>
              <w:fldChar w:fldCharType="begin"/>
            </w:r>
            <w:r w:rsidR="00172D89">
              <w:rPr>
                <w:noProof/>
                <w:webHidden/>
              </w:rPr>
              <w:instrText xml:space="preserve"> PAGEREF _Toc486415618 \h </w:instrText>
            </w:r>
            <w:r w:rsidR="00172D89">
              <w:rPr>
                <w:noProof/>
                <w:webHidden/>
              </w:rPr>
            </w:r>
            <w:r w:rsidR="00172D89">
              <w:rPr>
                <w:noProof/>
                <w:webHidden/>
              </w:rPr>
              <w:fldChar w:fldCharType="separate"/>
            </w:r>
            <w:r w:rsidR="00FC3A58">
              <w:rPr>
                <w:noProof/>
                <w:webHidden/>
              </w:rPr>
              <w:t>2</w:t>
            </w:r>
            <w:r w:rsidR="00172D89">
              <w:rPr>
                <w:noProof/>
                <w:webHidden/>
              </w:rPr>
              <w:fldChar w:fldCharType="end"/>
            </w:r>
          </w:hyperlink>
        </w:p>
        <w:p w14:paraId="7A12DD03" w14:textId="77777777" w:rsidR="00172D89" w:rsidRDefault="008E38F3">
          <w:pPr>
            <w:pStyle w:val="Sommario1"/>
            <w:rPr>
              <w:rFonts w:asciiTheme="minorHAnsi" w:eastAsiaTheme="minorEastAsia" w:hAnsiTheme="minorHAnsi" w:cstheme="minorBidi"/>
              <w:noProof/>
              <w:szCs w:val="22"/>
              <w:lang w:eastAsia="it-IT" w:bidi="ar-SA"/>
            </w:rPr>
          </w:pPr>
          <w:hyperlink w:anchor="_Toc486415619" w:history="1">
            <w:r w:rsidR="00172D89" w:rsidRPr="00BF51AB">
              <w:rPr>
                <w:rStyle w:val="Collegamentoipertestuale"/>
                <w:noProof/>
              </w:rPr>
              <w:t>Premessa</w:t>
            </w:r>
            <w:r w:rsidR="00172D89">
              <w:rPr>
                <w:noProof/>
                <w:webHidden/>
              </w:rPr>
              <w:tab/>
            </w:r>
            <w:r w:rsidR="00172D89">
              <w:rPr>
                <w:noProof/>
                <w:webHidden/>
              </w:rPr>
              <w:fldChar w:fldCharType="begin"/>
            </w:r>
            <w:r w:rsidR="00172D89">
              <w:rPr>
                <w:noProof/>
                <w:webHidden/>
              </w:rPr>
              <w:instrText xml:space="preserve"> PAGEREF _Toc486415619 \h </w:instrText>
            </w:r>
            <w:r w:rsidR="00172D89">
              <w:rPr>
                <w:noProof/>
                <w:webHidden/>
              </w:rPr>
            </w:r>
            <w:r w:rsidR="00172D89">
              <w:rPr>
                <w:noProof/>
                <w:webHidden/>
              </w:rPr>
              <w:fldChar w:fldCharType="separate"/>
            </w:r>
            <w:r w:rsidR="00FC3A58">
              <w:rPr>
                <w:noProof/>
                <w:webHidden/>
              </w:rPr>
              <w:t>4</w:t>
            </w:r>
            <w:r w:rsidR="00172D89">
              <w:rPr>
                <w:noProof/>
                <w:webHidden/>
              </w:rPr>
              <w:fldChar w:fldCharType="end"/>
            </w:r>
          </w:hyperlink>
        </w:p>
        <w:p w14:paraId="40B5C0CA" w14:textId="77777777" w:rsidR="00172D89" w:rsidRDefault="008E38F3">
          <w:pPr>
            <w:pStyle w:val="Sommario1"/>
            <w:rPr>
              <w:rFonts w:asciiTheme="minorHAnsi" w:eastAsiaTheme="minorEastAsia" w:hAnsiTheme="minorHAnsi" w:cstheme="minorBidi"/>
              <w:noProof/>
              <w:szCs w:val="22"/>
              <w:lang w:eastAsia="it-IT" w:bidi="ar-SA"/>
            </w:rPr>
          </w:pPr>
          <w:hyperlink w:anchor="_Toc486415620" w:history="1">
            <w:r w:rsidR="00172D89" w:rsidRPr="00BF51AB">
              <w:rPr>
                <w:rStyle w:val="Collegamentoipertestuale"/>
                <w:noProof/>
              </w:rPr>
              <w:t>Executive Summary</w:t>
            </w:r>
            <w:r w:rsidR="00172D89">
              <w:rPr>
                <w:noProof/>
                <w:webHidden/>
              </w:rPr>
              <w:tab/>
            </w:r>
            <w:r w:rsidR="00172D89">
              <w:rPr>
                <w:noProof/>
                <w:webHidden/>
              </w:rPr>
              <w:fldChar w:fldCharType="begin"/>
            </w:r>
            <w:r w:rsidR="00172D89">
              <w:rPr>
                <w:noProof/>
                <w:webHidden/>
              </w:rPr>
              <w:instrText xml:space="preserve"> PAGEREF _Toc486415620 \h </w:instrText>
            </w:r>
            <w:r w:rsidR="00172D89">
              <w:rPr>
                <w:noProof/>
                <w:webHidden/>
              </w:rPr>
            </w:r>
            <w:r w:rsidR="00172D89">
              <w:rPr>
                <w:noProof/>
                <w:webHidden/>
              </w:rPr>
              <w:fldChar w:fldCharType="separate"/>
            </w:r>
            <w:r w:rsidR="00FC3A58">
              <w:rPr>
                <w:noProof/>
                <w:webHidden/>
              </w:rPr>
              <w:t>4</w:t>
            </w:r>
            <w:r w:rsidR="00172D89">
              <w:rPr>
                <w:noProof/>
                <w:webHidden/>
              </w:rPr>
              <w:fldChar w:fldCharType="end"/>
            </w:r>
          </w:hyperlink>
        </w:p>
        <w:p w14:paraId="17B1D33C" w14:textId="77777777" w:rsidR="00172D89" w:rsidRDefault="008E38F3">
          <w:pPr>
            <w:pStyle w:val="Sommario1"/>
            <w:rPr>
              <w:rFonts w:asciiTheme="minorHAnsi" w:eastAsiaTheme="minorEastAsia" w:hAnsiTheme="minorHAnsi" w:cstheme="minorBidi"/>
              <w:noProof/>
              <w:szCs w:val="22"/>
              <w:lang w:eastAsia="it-IT" w:bidi="ar-SA"/>
            </w:rPr>
          </w:pPr>
          <w:hyperlink w:anchor="_Toc486415621" w:history="1">
            <w:r w:rsidR="00172D89" w:rsidRPr="00BF51AB">
              <w:rPr>
                <w:rStyle w:val="Collegamentoipertestuale"/>
                <w:noProof/>
              </w:rPr>
              <w:t>Le aree strategiche di intervento del piano della performance</w:t>
            </w:r>
            <w:r w:rsidR="00172D89">
              <w:rPr>
                <w:noProof/>
                <w:webHidden/>
              </w:rPr>
              <w:tab/>
            </w:r>
            <w:r w:rsidR="00172D89">
              <w:rPr>
                <w:noProof/>
                <w:webHidden/>
              </w:rPr>
              <w:fldChar w:fldCharType="begin"/>
            </w:r>
            <w:r w:rsidR="00172D89">
              <w:rPr>
                <w:noProof/>
                <w:webHidden/>
              </w:rPr>
              <w:instrText xml:space="preserve"> PAGEREF _Toc486415621 \h </w:instrText>
            </w:r>
            <w:r w:rsidR="00172D89">
              <w:rPr>
                <w:noProof/>
                <w:webHidden/>
              </w:rPr>
            </w:r>
            <w:r w:rsidR="00172D89">
              <w:rPr>
                <w:noProof/>
                <w:webHidden/>
              </w:rPr>
              <w:fldChar w:fldCharType="separate"/>
            </w:r>
            <w:r w:rsidR="00FC3A58">
              <w:rPr>
                <w:noProof/>
                <w:webHidden/>
              </w:rPr>
              <w:t>7</w:t>
            </w:r>
            <w:r w:rsidR="00172D89">
              <w:rPr>
                <w:noProof/>
                <w:webHidden/>
              </w:rPr>
              <w:fldChar w:fldCharType="end"/>
            </w:r>
          </w:hyperlink>
        </w:p>
        <w:p w14:paraId="1C017413" w14:textId="77777777" w:rsidR="00172D89" w:rsidRDefault="008E38F3">
          <w:pPr>
            <w:pStyle w:val="Sommario2"/>
            <w:rPr>
              <w:rFonts w:asciiTheme="minorHAnsi" w:eastAsiaTheme="minorEastAsia" w:hAnsiTheme="minorHAnsi" w:cstheme="minorBidi"/>
              <w:noProof/>
              <w:szCs w:val="22"/>
              <w:lang w:eastAsia="it-IT" w:bidi="ar-SA"/>
            </w:rPr>
          </w:pPr>
          <w:hyperlink w:anchor="_Toc486415622" w:history="1">
            <w:r w:rsidR="00172D89" w:rsidRPr="00BF51AB">
              <w:rPr>
                <w:rStyle w:val="Collegamentoipertestuale"/>
                <w:noProof/>
              </w:rPr>
              <w:t>1 Politiche integrate della promozione e tutela della salute</w:t>
            </w:r>
            <w:r w:rsidR="00172D89">
              <w:rPr>
                <w:noProof/>
                <w:webHidden/>
              </w:rPr>
              <w:tab/>
            </w:r>
            <w:r w:rsidR="00172D89">
              <w:rPr>
                <w:noProof/>
                <w:webHidden/>
              </w:rPr>
              <w:fldChar w:fldCharType="begin"/>
            </w:r>
            <w:r w:rsidR="00172D89">
              <w:rPr>
                <w:noProof/>
                <w:webHidden/>
              </w:rPr>
              <w:instrText xml:space="preserve"> PAGEREF _Toc486415622 \h </w:instrText>
            </w:r>
            <w:r w:rsidR="00172D89">
              <w:rPr>
                <w:noProof/>
                <w:webHidden/>
              </w:rPr>
            </w:r>
            <w:r w:rsidR="00172D89">
              <w:rPr>
                <w:noProof/>
                <w:webHidden/>
              </w:rPr>
              <w:fldChar w:fldCharType="separate"/>
            </w:r>
            <w:r w:rsidR="00FC3A58">
              <w:rPr>
                <w:noProof/>
                <w:webHidden/>
              </w:rPr>
              <w:t>12</w:t>
            </w:r>
            <w:r w:rsidR="00172D89">
              <w:rPr>
                <w:noProof/>
                <w:webHidden/>
              </w:rPr>
              <w:fldChar w:fldCharType="end"/>
            </w:r>
          </w:hyperlink>
        </w:p>
        <w:p w14:paraId="7ECEB71E" w14:textId="77777777" w:rsidR="00172D89" w:rsidRDefault="008E38F3">
          <w:pPr>
            <w:pStyle w:val="Sommario1"/>
            <w:rPr>
              <w:rFonts w:asciiTheme="minorHAnsi" w:eastAsiaTheme="minorEastAsia" w:hAnsiTheme="minorHAnsi" w:cstheme="minorBidi"/>
              <w:noProof/>
              <w:szCs w:val="22"/>
              <w:lang w:eastAsia="it-IT" w:bidi="ar-SA"/>
            </w:rPr>
          </w:pPr>
          <w:hyperlink w:anchor="_Toc486415623" w:history="1">
            <w:r w:rsidR="00172D89" w:rsidRPr="00BF51AB">
              <w:rPr>
                <w:rStyle w:val="Collegamentoipertestuale"/>
                <w:rFonts w:eastAsia="Calibri"/>
                <w:noProof/>
              </w:rPr>
              <w:t>1.1 Promozione della salute per favorire stili di vita salutari</w:t>
            </w:r>
            <w:r w:rsidR="00172D89">
              <w:rPr>
                <w:noProof/>
                <w:webHidden/>
              </w:rPr>
              <w:tab/>
            </w:r>
            <w:r w:rsidR="00172D89">
              <w:rPr>
                <w:noProof/>
                <w:webHidden/>
              </w:rPr>
              <w:fldChar w:fldCharType="begin"/>
            </w:r>
            <w:r w:rsidR="00172D89">
              <w:rPr>
                <w:noProof/>
                <w:webHidden/>
              </w:rPr>
              <w:instrText xml:space="preserve"> PAGEREF _Toc486415623 \h </w:instrText>
            </w:r>
            <w:r w:rsidR="00172D89">
              <w:rPr>
                <w:noProof/>
                <w:webHidden/>
              </w:rPr>
            </w:r>
            <w:r w:rsidR="00172D89">
              <w:rPr>
                <w:noProof/>
                <w:webHidden/>
              </w:rPr>
              <w:fldChar w:fldCharType="separate"/>
            </w:r>
            <w:r w:rsidR="00FC3A58">
              <w:rPr>
                <w:noProof/>
                <w:webHidden/>
              </w:rPr>
              <w:t>12</w:t>
            </w:r>
            <w:r w:rsidR="00172D89">
              <w:rPr>
                <w:noProof/>
                <w:webHidden/>
              </w:rPr>
              <w:fldChar w:fldCharType="end"/>
            </w:r>
          </w:hyperlink>
        </w:p>
        <w:p w14:paraId="5B53FF45" w14:textId="77777777" w:rsidR="00172D89" w:rsidRDefault="008E38F3">
          <w:pPr>
            <w:pStyle w:val="Sommario1"/>
            <w:rPr>
              <w:rFonts w:asciiTheme="minorHAnsi" w:eastAsiaTheme="minorEastAsia" w:hAnsiTheme="minorHAnsi" w:cstheme="minorBidi"/>
              <w:noProof/>
              <w:szCs w:val="22"/>
              <w:lang w:eastAsia="it-IT" w:bidi="ar-SA"/>
            </w:rPr>
          </w:pPr>
          <w:hyperlink w:anchor="_Toc486415624" w:history="1">
            <w:r w:rsidR="00172D89" w:rsidRPr="00BF51AB">
              <w:rPr>
                <w:rStyle w:val="Collegamentoipertestuale"/>
                <w:rFonts w:eastAsia="Calibri"/>
                <w:noProof/>
              </w:rPr>
              <w:t>1.2 Programmi di prevenzione e diagnosi precoce oncologica</w:t>
            </w:r>
            <w:r w:rsidR="00172D89">
              <w:rPr>
                <w:noProof/>
                <w:webHidden/>
              </w:rPr>
              <w:tab/>
            </w:r>
            <w:r w:rsidR="00172D89">
              <w:rPr>
                <w:noProof/>
                <w:webHidden/>
              </w:rPr>
              <w:fldChar w:fldCharType="begin"/>
            </w:r>
            <w:r w:rsidR="00172D89">
              <w:rPr>
                <w:noProof/>
                <w:webHidden/>
              </w:rPr>
              <w:instrText xml:space="preserve"> PAGEREF _Toc486415624 \h </w:instrText>
            </w:r>
            <w:r w:rsidR="00172D89">
              <w:rPr>
                <w:noProof/>
                <w:webHidden/>
              </w:rPr>
            </w:r>
            <w:r w:rsidR="00172D89">
              <w:rPr>
                <w:noProof/>
                <w:webHidden/>
              </w:rPr>
              <w:fldChar w:fldCharType="separate"/>
            </w:r>
            <w:r w:rsidR="00FC3A58">
              <w:rPr>
                <w:noProof/>
                <w:webHidden/>
              </w:rPr>
              <w:t>14</w:t>
            </w:r>
            <w:r w:rsidR="00172D89">
              <w:rPr>
                <w:noProof/>
                <w:webHidden/>
              </w:rPr>
              <w:fldChar w:fldCharType="end"/>
            </w:r>
          </w:hyperlink>
        </w:p>
        <w:p w14:paraId="4074E032" w14:textId="77777777" w:rsidR="00172D89" w:rsidRDefault="008E38F3">
          <w:pPr>
            <w:pStyle w:val="Sommario1"/>
            <w:rPr>
              <w:rFonts w:asciiTheme="minorHAnsi" w:eastAsiaTheme="minorEastAsia" w:hAnsiTheme="minorHAnsi" w:cstheme="minorBidi"/>
              <w:noProof/>
              <w:szCs w:val="22"/>
              <w:lang w:eastAsia="it-IT" w:bidi="ar-SA"/>
            </w:rPr>
          </w:pPr>
          <w:hyperlink w:anchor="_Toc486415625" w:history="1">
            <w:r w:rsidR="00172D89" w:rsidRPr="00BF51AB">
              <w:rPr>
                <w:rStyle w:val="Collegamentoipertestuale"/>
                <w:rFonts w:eastAsia="Calibri"/>
                <w:noProof/>
              </w:rPr>
              <w:t>1.3 Sanità Pubblica e prevenzione delle malattie</w:t>
            </w:r>
            <w:r w:rsidR="00172D89">
              <w:rPr>
                <w:noProof/>
                <w:webHidden/>
              </w:rPr>
              <w:tab/>
            </w:r>
            <w:r w:rsidR="00172D89">
              <w:rPr>
                <w:noProof/>
                <w:webHidden/>
              </w:rPr>
              <w:fldChar w:fldCharType="begin"/>
            </w:r>
            <w:r w:rsidR="00172D89">
              <w:rPr>
                <w:noProof/>
                <w:webHidden/>
              </w:rPr>
              <w:instrText xml:space="preserve"> PAGEREF _Toc486415625 \h </w:instrText>
            </w:r>
            <w:r w:rsidR="00172D89">
              <w:rPr>
                <w:noProof/>
                <w:webHidden/>
              </w:rPr>
            </w:r>
            <w:r w:rsidR="00172D89">
              <w:rPr>
                <w:noProof/>
                <w:webHidden/>
              </w:rPr>
              <w:fldChar w:fldCharType="separate"/>
            </w:r>
            <w:r w:rsidR="00FC3A58">
              <w:rPr>
                <w:noProof/>
                <w:webHidden/>
              </w:rPr>
              <w:t>16</w:t>
            </w:r>
            <w:r w:rsidR="00172D89">
              <w:rPr>
                <w:noProof/>
                <w:webHidden/>
              </w:rPr>
              <w:fldChar w:fldCharType="end"/>
            </w:r>
          </w:hyperlink>
        </w:p>
        <w:p w14:paraId="5EC9A7BE" w14:textId="77777777" w:rsidR="00172D89" w:rsidRDefault="008E38F3">
          <w:pPr>
            <w:pStyle w:val="Sommario1"/>
            <w:rPr>
              <w:rFonts w:asciiTheme="minorHAnsi" w:eastAsiaTheme="minorEastAsia" w:hAnsiTheme="minorHAnsi" w:cstheme="minorBidi"/>
              <w:noProof/>
              <w:szCs w:val="22"/>
              <w:lang w:eastAsia="it-IT" w:bidi="ar-SA"/>
            </w:rPr>
          </w:pPr>
          <w:hyperlink w:anchor="_Toc486415626" w:history="1">
            <w:r w:rsidR="00172D89" w:rsidRPr="00BF51AB">
              <w:rPr>
                <w:rStyle w:val="Collegamentoipertestuale"/>
                <w:rFonts w:eastAsia="Calibri"/>
                <w:noProof/>
              </w:rPr>
              <w:t>1.4 Salute Mentale e Dipendenze Patologiche e Promozione e Tutela della Salute nelle carceri</w:t>
            </w:r>
            <w:r w:rsidR="00172D89">
              <w:rPr>
                <w:noProof/>
                <w:webHidden/>
              </w:rPr>
              <w:tab/>
            </w:r>
            <w:r w:rsidR="00172D89">
              <w:rPr>
                <w:noProof/>
                <w:webHidden/>
              </w:rPr>
              <w:fldChar w:fldCharType="begin"/>
            </w:r>
            <w:r w:rsidR="00172D89">
              <w:rPr>
                <w:noProof/>
                <w:webHidden/>
              </w:rPr>
              <w:instrText xml:space="preserve"> PAGEREF _Toc486415626 \h </w:instrText>
            </w:r>
            <w:r w:rsidR="00172D89">
              <w:rPr>
                <w:noProof/>
                <w:webHidden/>
              </w:rPr>
            </w:r>
            <w:r w:rsidR="00172D89">
              <w:rPr>
                <w:noProof/>
                <w:webHidden/>
              </w:rPr>
              <w:fldChar w:fldCharType="separate"/>
            </w:r>
            <w:r w:rsidR="00FC3A58">
              <w:rPr>
                <w:noProof/>
                <w:webHidden/>
              </w:rPr>
              <w:t>17</w:t>
            </w:r>
            <w:r w:rsidR="00172D89">
              <w:rPr>
                <w:noProof/>
                <w:webHidden/>
              </w:rPr>
              <w:fldChar w:fldCharType="end"/>
            </w:r>
          </w:hyperlink>
        </w:p>
        <w:p w14:paraId="79350C18" w14:textId="77777777" w:rsidR="00172D89" w:rsidRDefault="008E38F3">
          <w:pPr>
            <w:pStyle w:val="Sommario1"/>
            <w:rPr>
              <w:rFonts w:asciiTheme="minorHAnsi" w:eastAsiaTheme="minorEastAsia" w:hAnsiTheme="minorHAnsi" w:cstheme="minorBidi"/>
              <w:noProof/>
              <w:szCs w:val="22"/>
              <w:lang w:eastAsia="it-IT" w:bidi="ar-SA"/>
            </w:rPr>
          </w:pPr>
          <w:hyperlink w:anchor="_Toc486415627" w:history="1">
            <w:r w:rsidR="00172D89" w:rsidRPr="00BF51AB">
              <w:rPr>
                <w:rStyle w:val="Collegamentoipertestuale"/>
                <w:rFonts w:eastAsia="Calibri"/>
                <w:noProof/>
              </w:rPr>
              <w:t>1.5 Le relazioni con i portatori di interesse</w:t>
            </w:r>
            <w:r w:rsidR="00172D89">
              <w:rPr>
                <w:noProof/>
                <w:webHidden/>
              </w:rPr>
              <w:tab/>
            </w:r>
            <w:r w:rsidR="00172D89">
              <w:rPr>
                <w:noProof/>
                <w:webHidden/>
              </w:rPr>
              <w:fldChar w:fldCharType="begin"/>
            </w:r>
            <w:r w:rsidR="00172D89">
              <w:rPr>
                <w:noProof/>
                <w:webHidden/>
              </w:rPr>
              <w:instrText xml:space="preserve"> PAGEREF _Toc486415627 \h </w:instrText>
            </w:r>
            <w:r w:rsidR="00172D89">
              <w:rPr>
                <w:noProof/>
                <w:webHidden/>
              </w:rPr>
            </w:r>
            <w:r w:rsidR="00172D89">
              <w:rPr>
                <w:noProof/>
                <w:webHidden/>
              </w:rPr>
              <w:fldChar w:fldCharType="separate"/>
            </w:r>
            <w:r w:rsidR="00FC3A58">
              <w:rPr>
                <w:noProof/>
                <w:webHidden/>
              </w:rPr>
              <w:t>19</w:t>
            </w:r>
            <w:r w:rsidR="00172D89">
              <w:rPr>
                <w:noProof/>
                <w:webHidden/>
              </w:rPr>
              <w:fldChar w:fldCharType="end"/>
            </w:r>
          </w:hyperlink>
        </w:p>
        <w:p w14:paraId="031E0064" w14:textId="77777777" w:rsidR="00172D89" w:rsidRDefault="008E38F3">
          <w:pPr>
            <w:pStyle w:val="Sommario1"/>
            <w:rPr>
              <w:rFonts w:asciiTheme="minorHAnsi" w:eastAsiaTheme="minorEastAsia" w:hAnsiTheme="minorHAnsi" w:cstheme="minorBidi"/>
              <w:noProof/>
              <w:szCs w:val="22"/>
              <w:lang w:eastAsia="it-IT" w:bidi="ar-SA"/>
            </w:rPr>
          </w:pPr>
          <w:hyperlink w:anchor="_Toc486415628" w:history="1">
            <w:r w:rsidR="00172D89" w:rsidRPr="00BF51AB">
              <w:rPr>
                <w:rStyle w:val="Collegamentoipertestuale"/>
                <w:rFonts w:eastAsia="Calibri"/>
                <w:noProof/>
              </w:rPr>
              <w:t>1.6 Prevenzione degli eventi avversi e gestione dei sinistri</w:t>
            </w:r>
            <w:r w:rsidR="00172D89">
              <w:rPr>
                <w:noProof/>
                <w:webHidden/>
              </w:rPr>
              <w:tab/>
            </w:r>
            <w:r w:rsidR="00172D89">
              <w:rPr>
                <w:noProof/>
                <w:webHidden/>
              </w:rPr>
              <w:fldChar w:fldCharType="begin"/>
            </w:r>
            <w:r w:rsidR="00172D89">
              <w:rPr>
                <w:noProof/>
                <w:webHidden/>
              </w:rPr>
              <w:instrText xml:space="preserve"> PAGEREF _Toc486415628 \h </w:instrText>
            </w:r>
            <w:r w:rsidR="00172D89">
              <w:rPr>
                <w:noProof/>
                <w:webHidden/>
              </w:rPr>
            </w:r>
            <w:r w:rsidR="00172D89">
              <w:rPr>
                <w:noProof/>
                <w:webHidden/>
              </w:rPr>
              <w:fldChar w:fldCharType="separate"/>
            </w:r>
            <w:r w:rsidR="00FC3A58">
              <w:rPr>
                <w:noProof/>
                <w:webHidden/>
              </w:rPr>
              <w:t>20</w:t>
            </w:r>
            <w:r w:rsidR="00172D89">
              <w:rPr>
                <w:noProof/>
                <w:webHidden/>
              </w:rPr>
              <w:fldChar w:fldCharType="end"/>
            </w:r>
          </w:hyperlink>
        </w:p>
        <w:p w14:paraId="31019F9F" w14:textId="77777777" w:rsidR="00172D89" w:rsidRDefault="008E38F3">
          <w:pPr>
            <w:pStyle w:val="Sommario2"/>
            <w:rPr>
              <w:rFonts w:asciiTheme="minorHAnsi" w:eastAsiaTheme="minorEastAsia" w:hAnsiTheme="minorHAnsi" w:cstheme="minorBidi"/>
              <w:noProof/>
              <w:szCs w:val="22"/>
              <w:lang w:eastAsia="it-IT" w:bidi="ar-SA"/>
            </w:rPr>
          </w:pPr>
          <w:hyperlink w:anchor="_Toc486415629" w:history="1">
            <w:r w:rsidR="00172D89" w:rsidRPr="00BF51AB">
              <w:rPr>
                <w:rStyle w:val="Collegamentoipertestuale"/>
                <w:noProof/>
              </w:rPr>
              <w:t>2 Politiche per la semplificazione e l’equità nell’accesso ai servizi</w:t>
            </w:r>
            <w:r w:rsidR="00172D89">
              <w:rPr>
                <w:noProof/>
                <w:webHidden/>
              </w:rPr>
              <w:tab/>
            </w:r>
            <w:r w:rsidR="00172D89">
              <w:rPr>
                <w:noProof/>
                <w:webHidden/>
              </w:rPr>
              <w:fldChar w:fldCharType="begin"/>
            </w:r>
            <w:r w:rsidR="00172D89">
              <w:rPr>
                <w:noProof/>
                <w:webHidden/>
              </w:rPr>
              <w:instrText xml:space="preserve"> PAGEREF _Toc486415629 \h </w:instrText>
            </w:r>
            <w:r w:rsidR="00172D89">
              <w:rPr>
                <w:noProof/>
                <w:webHidden/>
              </w:rPr>
            </w:r>
            <w:r w:rsidR="00172D89">
              <w:rPr>
                <w:noProof/>
                <w:webHidden/>
              </w:rPr>
              <w:fldChar w:fldCharType="separate"/>
            </w:r>
            <w:r w:rsidR="00FC3A58">
              <w:rPr>
                <w:noProof/>
                <w:webHidden/>
              </w:rPr>
              <w:t>22</w:t>
            </w:r>
            <w:r w:rsidR="00172D89">
              <w:rPr>
                <w:noProof/>
                <w:webHidden/>
              </w:rPr>
              <w:fldChar w:fldCharType="end"/>
            </w:r>
          </w:hyperlink>
        </w:p>
        <w:p w14:paraId="26555F72" w14:textId="77777777" w:rsidR="00172D89" w:rsidRDefault="008E38F3">
          <w:pPr>
            <w:pStyle w:val="Sommario1"/>
            <w:rPr>
              <w:rFonts w:asciiTheme="minorHAnsi" w:eastAsiaTheme="minorEastAsia" w:hAnsiTheme="minorHAnsi" w:cstheme="minorBidi"/>
              <w:noProof/>
              <w:szCs w:val="22"/>
              <w:lang w:eastAsia="it-IT" w:bidi="ar-SA"/>
            </w:rPr>
          </w:pPr>
          <w:hyperlink w:anchor="_Toc486415630" w:history="1">
            <w:r w:rsidR="00172D89" w:rsidRPr="00BF51AB">
              <w:rPr>
                <w:rStyle w:val="Collegamentoipertestuale"/>
                <w:rFonts w:eastAsia="Calibri"/>
                <w:noProof/>
              </w:rPr>
              <w:t>2.1 Le Case della Salute</w:t>
            </w:r>
            <w:r w:rsidR="00172D89">
              <w:rPr>
                <w:noProof/>
                <w:webHidden/>
              </w:rPr>
              <w:tab/>
            </w:r>
            <w:r w:rsidR="00172D89">
              <w:rPr>
                <w:noProof/>
                <w:webHidden/>
              </w:rPr>
              <w:fldChar w:fldCharType="begin"/>
            </w:r>
            <w:r w:rsidR="00172D89">
              <w:rPr>
                <w:noProof/>
                <w:webHidden/>
              </w:rPr>
              <w:instrText xml:space="preserve"> PAGEREF _Toc486415630 \h </w:instrText>
            </w:r>
            <w:r w:rsidR="00172D89">
              <w:rPr>
                <w:noProof/>
                <w:webHidden/>
              </w:rPr>
            </w:r>
            <w:r w:rsidR="00172D89">
              <w:rPr>
                <w:noProof/>
                <w:webHidden/>
              </w:rPr>
              <w:fldChar w:fldCharType="separate"/>
            </w:r>
            <w:r w:rsidR="00FC3A58">
              <w:rPr>
                <w:noProof/>
                <w:webHidden/>
              </w:rPr>
              <w:t>22</w:t>
            </w:r>
            <w:r w:rsidR="00172D89">
              <w:rPr>
                <w:noProof/>
                <w:webHidden/>
              </w:rPr>
              <w:fldChar w:fldCharType="end"/>
            </w:r>
          </w:hyperlink>
        </w:p>
        <w:p w14:paraId="343B6A3D" w14:textId="77777777" w:rsidR="00172D89" w:rsidRDefault="008E38F3">
          <w:pPr>
            <w:pStyle w:val="Sommario1"/>
            <w:rPr>
              <w:rFonts w:asciiTheme="minorHAnsi" w:eastAsiaTheme="minorEastAsia" w:hAnsiTheme="minorHAnsi" w:cstheme="minorBidi"/>
              <w:noProof/>
              <w:szCs w:val="22"/>
              <w:lang w:eastAsia="it-IT" w:bidi="ar-SA"/>
            </w:rPr>
          </w:pPr>
          <w:hyperlink w:anchor="_Toc486415631" w:history="1">
            <w:r w:rsidR="00172D89" w:rsidRPr="00BF51AB">
              <w:rPr>
                <w:rStyle w:val="Collegamentoipertestuale"/>
                <w:rFonts w:eastAsia="Calibri"/>
                <w:noProof/>
              </w:rPr>
              <w:t>2.2 Gli Ospedali di Comunità</w:t>
            </w:r>
            <w:r w:rsidR="00172D89">
              <w:rPr>
                <w:noProof/>
                <w:webHidden/>
              </w:rPr>
              <w:tab/>
            </w:r>
            <w:r w:rsidR="00172D89">
              <w:rPr>
                <w:noProof/>
                <w:webHidden/>
              </w:rPr>
              <w:fldChar w:fldCharType="begin"/>
            </w:r>
            <w:r w:rsidR="00172D89">
              <w:rPr>
                <w:noProof/>
                <w:webHidden/>
              </w:rPr>
              <w:instrText xml:space="preserve"> PAGEREF _Toc486415631 \h </w:instrText>
            </w:r>
            <w:r w:rsidR="00172D89">
              <w:rPr>
                <w:noProof/>
                <w:webHidden/>
              </w:rPr>
            </w:r>
            <w:r w:rsidR="00172D89">
              <w:rPr>
                <w:noProof/>
                <w:webHidden/>
              </w:rPr>
              <w:fldChar w:fldCharType="separate"/>
            </w:r>
            <w:r w:rsidR="00FC3A58">
              <w:rPr>
                <w:noProof/>
                <w:webHidden/>
              </w:rPr>
              <w:t>24</w:t>
            </w:r>
            <w:r w:rsidR="00172D89">
              <w:rPr>
                <w:noProof/>
                <w:webHidden/>
              </w:rPr>
              <w:fldChar w:fldCharType="end"/>
            </w:r>
          </w:hyperlink>
        </w:p>
        <w:p w14:paraId="6667671F" w14:textId="77777777" w:rsidR="00172D89" w:rsidRDefault="008E38F3">
          <w:pPr>
            <w:pStyle w:val="Sommario1"/>
            <w:rPr>
              <w:rFonts w:asciiTheme="minorHAnsi" w:eastAsiaTheme="minorEastAsia" w:hAnsiTheme="minorHAnsi" w:cstheme="minorBidi"/>
              <w:noProof/>
              <w:szCs w:val="22"/>
              <w:lang w:eastAsia="it-IT" w:bidi="ar-SA"/>
            </w:rPr>
          </w:pPr>
          <w:hyperlink w:anchor="_Toc486415632" w:history="1">
            <w:r w:rsidR="00172D89" w:rsidRPr="00BF51AB">
              <w:rPr>
                <w:rStyle w:val="Collegamentoipertestuale"/>
                <w:rFonts w:eastAsia="Calibri"/>
                <w:noProof/>
              </w:rPr>
              <w:t>2.3 L’assistenza Specialistica Ambulatoriale</w:t>
            </w:r>
            <w:r w:rsidR="00172D89">
              <w:rPr>
                <w:noProof/>
                <w:webHidden/>
              </w:rPr>
              <w:tab/>
            </w:r>
            <w:r w:rsidR="00172D89">
              <w:rPr>
                <w:noProof/>
                <w:webHidden/>
              </w:rPr>
              <w:fldChar w:fldCharType="begin"/>
            </w:r>
            <w:r w:rsidR="00172D89">
              <w:rPr>
                <w:noProof/>
                <w:webHidden/>
              </w:rPr>
              <w:instrText xml:space="preserve"> PAGEREF _Toc486415632 \h </w:instrText>
            </w:r>
            <w:r w:rsidR="00172D89">
              <w:rPr>
                <w:noProof/>
                <w:webHidden/>
              </w:rPr>
            </w:r>
            <w:r w:rsidR="00172D89">
              <w:rPr>
                <w:noProof/>
                <w:webHidden/>
              </w:rPr>
              <w:fldChar w:fldCharType="separate"/>
            </w:r>
            <w:r w:rsidR="00FC3A58">
              <w:rPr>
                <w:noProof/>
                <w:webHidden/>
              </w:rPr>
              <w:t>25</w:t>
            </w:r>
            <w:r w:rsidR="00172D89">
              <w:rPr>
                <w:noProof/>
                <w:webHidden/>
              </w:rPr>
              <w:fldChar w:fldCharType="end"/>
            </w:r>
          </w:hyperlink>
        </w:p>
        <w:p w14:paraId="27EBFC9C" w14:textId="77777777" w:rsidR="00172D89" w:rsidRDefault="008E38F3">
          <w:pPr>
            <w:pStyle w:val="Sommario1"/>
            <w:rPr>
              <w:rFonts w:asciiTheme="minorHAnsi" w:eastAsiaTheme="minorEastAsia" w:hAnsiTheme="minorHAnsi" w:cstheme="minorBidi"/>
              <w:noProof/>
              <w:szCs w:val="22"/>
              <w:lang w:eastAsia="it-IT" w:bidi="ar-SA"/>
            </w:rPr>
          </w:pPr>
          <w:hyperlink w:anchor="_Toc486415633" w:history="1">
            <w:r w:rsidR="00172D89" w:rsidRPr="00BF51AB">
              <w:rPr>
                <w:rStyle w:val="Collegamentoipertestuale"/>
                <w:rFonts w:eastAsia="Calibri"/>
                <w:noProof/>
              </w:rPr>
              <w:t>2.4 Prestazioni di ricovero ospedaliero</w:t>
            </w:r>
            <w:r w:rsidR="00172D89">
              <w:rPr>
                <w:noProof/>
                <w:webHidden/>
              </w:rPr>
              <w:tab/>
            </w:r>
            <w:r w:rsidR="00172D89">
              <w:rPr>
                <w:noProof/>
                <w:webHidden/>
              </w:rPr>
              <w:fldChar w:fldCharType="begin"/>
            </w:r>
            <w:r w:rsidR="00172D89">
              <w:rPr>
                <w:noProof/>
                <w:webHidden/>
              </w:rPr>
              <w:instrText xml:space="preserve"> PAGEREF _Toc486415633 \h </w:instrText>
            </w:r>
            <w:r w:rsidR="00172D89">
              <w:rPr>
                <w:noProof/>
                <w:webHidden/>
              </w:rPr>
            </w:r>
            <w:r w:rsidR="00172D89">
              <w:rPr>
                <w:noProof/>
                <w:webHidden/>
              </w:rPr>
              <w:fldChar w:fldCharType="separate"/>
            </w:r>
            <w:r w:rsidR="00FC3A58">
              <w:rPr>
                <w:noProof/>
                <w:webHidden/>
              </w:rPr>
              <w:t>27</w:t>
            </w:r>
            <w:r w:rsidR="00172D89">
              <w:rPr>
                <w:noProof/>
                <w:webHidden/>
              </w:rPr>
              <w:fldChar w:fldCharType="end"/>
            </w:r>
          </w:hyperlink>
        </w:p>
        <w:p w14:paraId="2346B92D" w14:textId="77777777" w:rsidR="00172D89" w:rsidRDefault="008E38F3">
          <w:pPr>
            <w:pStyle w:val="Sommario1"/>
            <w:rPr>
              <w:rFonts w:asciiTheme="minorHAnsi" w:eastAsiaTheme="minorEastAsia" w:hAnsiTheme="minorHAnsi" w:cstheme="minorBidi"/>
              <w:noProof/>
              <w:szCs w:val="22"/>
              <w:lang w:eastAsia="it-IT" w:bidi="ar-SA"/>
            </w:rPr>
          </w:pPr>
          <w:hyperlink w:anchor="_Toc486415634" w:history="1">
            <w:r w:rsidR="00172D89" w:rsidRPr="00BF51AB">
              <w:rPr>
                <w:rStyle w:val="Collegamentoipertestuale"/>
                <w:rFonts w:eastAsia="Calibri"/>
                <w:noProof/>
              </w:rPr>
              <w:t>2.5 L’accesso ai servizi di salute mentale</w:t>
            </w:r>
            <w:r w:rsidR="00172D89">
              <w:rPr>
                <w:noProof/>
                <w:webHidden/>
              </w:rPr>
              <w:tab/>
            </w:r>
            <w:r w:rsidR="00172D89">
              <w:rPr>
                <w:noProof/>
                <w:webHidden/>
              </w:rPr>
              <w:fldChar w:fldCharType="begin"/>
            </w:r>
            <w:r w:rsidR="00172D89">
              <w:rPr>
                <w:noProof/>
                <w:webHidden/>
              </w:rPr>
              <w:instrText xml:space="preserve"> PAGEREF _Toc486415634 \h </w:instrText>
            </w:r>
            <w:r w:rsidR="00172D89">
              <w:rPr>
                <w:noProof/>
                <w:webHidden/>
              </w:rPr>
            </w:r>
            <w:r w:rsidR="00172D89">
              <w:rPr>
                <w:noProof/>
                <w:webHidden/>
              </w:rPr>
              <w:fldChar w:fldCharType="separate"/>
            </w:r>
            <w:r w:rsidR="00FC3A58">
              <w:rPr>
                <w:noProof/>
                <w:webHidden/>
              </w:rPr>
              <w:t>29</w:t>
            </w:r>
            <w:r w:rsidR="00172D89">
              <w:rPr>
                <w:noProof/>
                <w:webHidden/>
              </w:rPr>
              <w:fldChar w:fldCharType="end"/>
            </w:r>
          </w:hyperlink>
        </w:p>
        <w:p w14:paraId="6B3AB848" w14:textId="77777777" w:rsidR="00172D89" w:rsidRDefault="008E38F3">
          <w:pPr>
            <w:pStyle w:val="Sommario1"/>
            <w:rPr>
              <w:rFonts w:asciiTheme="minorHAnsi" w:eastAsiaTheme="minorEastAsia" w:hAnsiTheme="minorHAnsi" w:cstheme="minorBidi"/>
              <w:noProof/>
              <w:szCs w:val="22"/>
              <w:lang w:eastAsia="it-IT" w:bidi="ar-SA"/>
            </w:rPr>
          </w:pPr>
          <w:hyperlink w:anchor="_Toc486415635" w:history="1">
            <w:r w:rsidR="00172D89" w:rsidRPr="00BF51AB">
              <w:rPr>
                <w:rStyle w:val="Collegamentoipertestuale"/>
                <w:rFonts w:eastAsia="Calibri"/>
                <w:noProof/>
              </w:rPr>
              <w:t>2.6 Politiche per l’Equità</w:t>
            </w:r>
            <w:r w:rsidR="00172D89">
              <w:rPr>
                <w:noProof/>
                <w:webHidden/>
              </w:rPr>
              <w:tab/>
            </w:r>
            <w:r w:rsidR="00172D89">
              <w:rPr>
                <w:noProof/>
                <w:webHidden/>
              </w:rPr>
              <w:fldChar w:fldCharType="begin"/>
            </w:r>
            <w:r w:rsidR="00172D89">
              <w:rPr>
                <w:noProof/>
                <w:webHidden/>
              </w:rPr>
              <w:instrText xml:space="preserve"> PAGEREF _Toc486415635 \h </w:instrText>
            </w:r>
            <w:r w:rsidR="00172D89">
              <w:rPr>
                <w:noProof/>
                <w:webHidden/>
              </w:rPr>
            </w:r>
            <w:r w:rsidR="00172D89">
              <w:rPr>
                <w:noProof/>
                <w:webHidden/>
              </w:rPr>
              <w:fldChar w:fldCharType="separate"/>
            </w:r>
            <w:r w:rsidR="00FC3A58">
              <w:rPr>
                <w:noProof/>
                <w:webHidden/>
              </w:rPr>
              <w:t>29</w:t>
            </w:r>
            <w:r w:rsidR="00172D89">
              <w:rPr>
                <w:noProof/>
                <w:webHidden/>
              </w:rPr>
              <w:fldChar w:fldCharType="end"/>
            </w:r>
          </w:hyperlink>
        </w:p>
        <w:p w14:paraId="46BC8031" w14:textId="77777777" w:rsidR="00172D89" w:rsidRDefault="008E38F3">
          <w:pPr>
            <w:pStyle w:val="Sommario2"/>
            <w:rPr>
              <w:rFonts w:asciiTheme="minorHAnsi" w:eastAsiaTheme="minorEastAsia" w:hAnsiTheme="minorHAnsi" w:cstheme="minorBidi"/>
              <w:noProof/>
              <w:szCs w:val="22"/>
              <w:lang w:eastAsia="it-IT" w:bidi="ar-SA"/>
            </w:rPr>
          </w:pPr>
          <w:hyperlink w:anchor="_Toc486415636" w:history="1">
            <w:r w:rsidR="00172D89" w:rsidRPr="00BF51AB">
              <w:rPr>
                <w:rStyle w:val="Collegamentoipertestuale"/>
                <w:noProof/>
              </w:rPr>
              <w:t>3 Percorsi Clinico Assistenziali</w:t>
            </w:r>
            <w:r w:rsidR="00172D89">
              <w:rPr>
                <w:noProof/>
                <w:webHidden/>
              </w:rPr>
              <w:tab/>
            </w:r>
            <w:r w:rsidR="00172D89">
              <w:rPr>
                <w:noProof/>
                <w:webHidden/>
              </w:rPr>
              <w:fldChar w:fldCharType="begin"/>
            </w:r>
            <w:r w:rsidR="00172D89">
              <w:rPr>
                <w:noProof/>
                <w:webHidden/>
              </w:rPr>
              <w:instrText xml:space="preserve"> PAGEREF _Toc486415636 \h </w:instrText>
            </w:r>
            <w:r w:rsidR="00172D89">
              <w:rPr>
                <w:noProof/>
                <w:webHidden/>
              </w:rPr>
            </w:r>
            <w:r w:rsidR="00172D89">
              <w:rPr>
                <w:noProof/>
                <w:webHidden/>
              </w:rPr>
              <w:fldChar w:fldCharType="separate"/>
            </w:r>
            <w:r w:rsidR="00FC3A58">
              <w:rPr>
                <w:noProof/>
                <w:webHidden/>
              </w:rPr>
              <w:t>31</w:t>
            </w:r>
            <w:r w:rsidR="00172D89">
              <w:rPr>
                <w:noProof/>
                <w:webHidden/>
              </w:rPr>
              <w:fldChar w:fldCharType="end"/>
            </w:r>
          </w:hyperlink>
        </w:p>
        <w:p w14:paraId="488EB024" w14:textId="77777777" w:rsidR="00172D89" w:rsidRDefault="008E38F3">
          <w:pPr>
            <w:pStyle w:val="Sommario1"/>
            <w:rPr>
              <w:rFonts w:asciiTheme="minorHAnsi" w:eastAsiaTheme="minorEastAsia" w:hAnsiTheme="minorHAnsi" w:cstheme="minorBidi"/>
              <w:noProof/>
              <w:szCs w:val="22"/>
              <w:lang w:eastAsia="it-IT" w:bidi="ar-SA"/>
            </w:rPr>
          </w:pPr>
          <w:hyperlink w:anchor="_Toc486415637" w:history="1">
            <w:r w:rsidR="00172D89" w:rsidRPr="00BF51AB">
              <w:rPr>
                <w:rStyle w:val="Collegamentoipertestuale"/>
                <w:rFonts w:eastAsia="Calibri"/>
                <w:noProof/>
              </w:rPr>
              <w:t>3.1 Monitoraggio PDTA</w:t>
            </w:r>
            <w:r w:rsidR="00172D89">
              <w:rPr>
                <w:noProof/>
                <w:webHidden/>
              </w:rPr>
              <w:tab/>
            </w:r>
            <w:r w:rsidR="00172D89">
              <w:rPr>
                <w:noProof/>
                <w:webHidden/>
              </w:rPr>
              <w:fldChar w:fldCharType="begin"/>
            </w:r>
            <w:r w:rsidR="00172D89">
              <w:rPr>
                <w:noProof/>
                <w:webHidden/>
              </w:rPr>
              <w:instrText xml:space="preserve"> PAGEREF _Toc486415637 \h </w:instrText>
            </w:r>
            <w:r w:rsidR="00172D89">
              <w:rPr>
                <w:noProof/>
                <w:webHidden/>
              </w:rPr>
            </w:r>
            <w:r w:rsidR="00172D89">
              <w:rPr>
                <w:noProof/>
                <w:webHidden/>
              </w:rPr>
              <w:fldChar w:fldCharType="separate"/>
            </w:r>
            <w:r w:rsidR="00FC3A58">
              <w:rPr>
                <w:noProof/>
                <w:webHidden/>
              </w:rPr>
              <w:t>31</w:t>
            </w:r>
            <w:r w:rsidR="00172D89">
              <w:rPr>
                <w:noProof/>
                <w:webHidden/>
              </w:rPr>
              <w:fldChar w:fldCharType="end"/>
            </w:r>
          </w:hyperlink>
        </w:p>
        <w:p w14:paraId="250834D7" w14:textId="77777777" w:rsidR="00172D89" w:rsidRDefault="008E38F3">
          <w:pPr>
            <w:pStyle w:val="Sommario2"/>
            <w:rPr>
              <w:rFonts w:asciiTheme="minorHAnsi" w:eastAsiaTheme="minorEastAsia" w:hAnsiTheme="minorHAnsi" w:cstheme="minorBidi"/>
              <w:noProof/>
              <w:szCs w:val="22"/>
              <w:lang w:eastAsia="it-IT" w:bidi="ar-SA"/>
            </w:rPr>
          </w:pPr>
          <w:hyperlink w:anchor="_Toc486415638" w:history="1">
            <w:r w:rsidR="00172D89" w:rsidRPr="00BF51AB">
              <w:rPr>
                <w:rStyle w:val="Collegamentoipertestuale"/>
                <w:noProof/>
              </w:rPr>
              <w:t>4 Politiche per la valorizzazione professionale</w:t>
            </w:r>
            <w:r w:rsidR="00172D89">
              <w:rPr>
                <w:noProof/>
                <w:webHidden/>
              </w:rPr>
              <w:tab/>
            </w:r>
            <w:r w:rsidR="00172D89">
              <w:rPr>
                <w:noProof/>
                <w:webHidden/>
              </w:rPr>
              <w:fldChar w:fldCharType="begin"/>
            </w:r>
            <w:r w:rsidR="00172D89">
              <w:rPr>
                <w:noProof/>
                <w:webHidden/>
              </w:rPr>
              <w:instrText xml:space="preserve"> PAGEREF _Toc486415638 \h </w:instrText>
            </w:r>
            <w:r w:rsidR="00172D89">
              <w:rPr>
                <w:noProof/>
                <w:webHidden/>
              </w:rPr>
            </w:r>
            <w:r w:rsidR="00172D89">
              <w:rPr>
                <w:noProof/>
                <w:webHidden/>
              </w:rPr>
              <w:fldChar w:fldCharType="separate"/>
            </w:r>
            <w:r w:rsidR="00FC3A58">
              <w:rPr>
                <w:noProof/>
                <w:webHidden/>
              </w:rPr>
              <w:t>32</w:t>
            </w:r>
            <w:r w:rsidR="00172D89">
              <w:rPr>
                <w:noProof/>
                <w:webHidden/>
              </w:rPr>
              <w:fldChar w:fldCharType="end"/>
            </w:r>
          </w:hyperlink>
        </w:p>
        <w:p w14:paraId="46DFD4D3" w14:textId="77777777" w:rsidR="00172D89" w:rsidRDefault="008E38F3">
          <w:pPr>
            <w:pStyle w:val="Sommario2"/>
            <w:rPr>
              <w:rFonts w:asciiTheme="minorHAnsi" w:eastAsiaTheme="minorEastAsia" w:hAnsiTheme="minorHAnsi" w:cstheme="minorBidi"/>
              <w:noProof/>
              <w:szCs w:val="22"/>
              <w:lang w:eastAsia="it-IT" w:bidi="ar-SA"/>
            </w:rPr>
          </w:pPr>
          <w:hyperlink w:anchor="_Toc486415639" w:history="1">
            <w:r w:rsidR="00172D89" w:rsidRPr="00BF51AB">
              <w:rPr>
                <w:rStyle w:val="Collegamentoipertestuale"/>
                <w:noProof/>
              </w:rPr>
              <w:t>5 Performance management per la creazione di valore</w:t>
            </w:r>
            <w:r w:rsidR="00172D89">
              <w:rPr>
                <w:noProof/>
                <w:webHidden/>
              </w:rPr>
              <w:tab/>
            </w:r>
            <w:r w:rsidR="00172D89">
              <w:rPr>
                <w:noProof/>
                <w:webHidden/>
              </w:rPr>
              <w:fldChar w:fldCharType="begin"/>
            </w:r>
            <w:r w:rsidR="00172D89">
              <w:rPr>
                <w:noProof/>
                <w:webHidden/>
              </w:rPr>
              <w:instrText xml:space="preserve"> PAGEREF _Toc486415639 \h </w:instrText>
            </w:r>
            <w:r w:rsidR="00172D89">
              <w:rPr>
                <w:noProof/>
                <w:webHidden/>
              </w:rPr>
            </w:r>
            <w:r w:rsidR="00172D89">
              <w:rPr>
                <w:noProof/>
                <w:webHidden/>
              </w:rPr>
              <w:fldChar w:fldCharType="separate"/>
            </w:r>
            <w:r w:rsidR="00FC3A58">
              <w:rPr>
                <w:noProof/>
                <w:webHidden/>
              </w:rPr>
              <w:t>34</w:t>
            </w:r>
            <w:r w:rsidR="00172D89">
              <w:rPr>
                <w:noProof/>
                <w:webHidden/>
              </w:rPr>
              <w:fldChar w:fldCharType="end"/>
            </w:r>
          </w:hyperlink>
        </w:p>
        <w:p w14:paraId="13F48FC0" w14:textId="77777777" w:rsidR="00172D89" w:rsidRDefault="008E38F3">
          <w:pPr>
            <w:pStyle w:val="Sommario1"/>
            <w:rPr>
              <w:rFonts w:asciiTheme="minorHAnsi" w:eastAsiaTheme="minorEastAsia" w:hAnsiTheme="minorHAnsi" w:cstheme="minorBidi"/>
              <w:noProof/>
              <w:szCs w:val="22"/>
              <w:lang w:eastAsia="it-IT" w:bidi="ar-SA"/>
            </w:rPr>
          </w:pPr>
          <w:hyperlink w:anchor="_Toc486415640" w:history="1">
            <w:r w:rsidR="00172D89" w:rsidRPr="00BF51AB">
              <w:rPr>
                <w:rStyle w:val="Collegamentoipertestuale"/>
                <w:rFonts w:eastAsia="Calibri"/>
                <w:noProof/>
              </w:rPr>
              <w:t>5.1 Progetto di gestione unica AOU Policlinico di Modena – Nuovo Ospedale Civile Sant’Agostino Estense (NOCSAE)</w:t>
            </w:r>
            <w:r w:rsidR="00172D89">
              <w:rPr>
                <w:noProof/>
                <w:webHidden/>
              </w:rPr>
              <w:tab/>
            </w:r>
            <w:r w:rsidR="00172D89">
              <w:rPr>
                <w:noProof/>
                <w:webHidden/>
              </w:rPr>
              <w:fldChar w:fldCharType="begin"/>
            </w:r>
            <w:r w:rsidR="00172D89">
              <w:rPr>
                <w:noProof/>
                <w:webHidden/>
              </w:rPr>
              <w:instrText xml:space="preserve"> PAGEREF _Toc486415640 \h </w:instrText>
            </w:r>
            <w:r w:rsidR="00172D89">
              <w:rPr>
                <w:noProof/>
                <w:webHidden/>
              </w:rPr>
            </w:r>
            <w:r w:rsidR="00172D89">
              <w:rPr>
                <w:noProof/>
                <w:webHidden/>
              </w:rPr>
              <w:fldChar w:fldCharType="separate"/>
            </w:r>
            <w:r w:rsidR="00FC3A58">
              <w:rPr>
                <w:noProof/>
                <w:webHidden/>
              </w:rPr>
              <w:t>34</w:t>
            </w:r>
            <w:r w:rsidR="00172D89">
              <w:rPr>
                <w:noProof/>
                <w:webHidden/>
              </w:rPr>
              <w:fldChar w:fldCharType="end"/>
            </w:r>
          </w:hyperlink>
        </w:p>
        <w:p w14:paraId="283B7E36" w14:textId="77777777" w:rsidR="00172D89" w:rsidRDefault="008E38F3">
          <w:pPr>
            <w:pStyle w:val="Sommario1"/>
            <w:rPr>
              <w:rFonts w:asciiTheme="minorHAnsi" w:eastAsiaTheme="minorEastAsia" w:hAnsiTheme="minorHAnsi" w:cstheme="minorBidi"/>
              <w:noProof/>
              <w:szCs w:val="22"/>
              <w:lang w:eastAsia="it-IT" w:bidi="ar-SA"/>
            </w:rPr>
          </w:pPr>
          <w:hyperlink w:anchor="_Toc486415641" w:history="1">
            <w:r w:rsidR="00172D89" w:rsidRPr="00BF51AB">
              <w:rPr>
                <w:rStyle w:val="Collegamentoipertestuale"/>
                <w:rFonts w:eastAsia="Calibri"/>
                <w:noProof/>
              </w:rPr>
              <w:t>5.2 Processo di programmazione</w:t>
            </w:r>
            <w:r w:rsidR="00172D89">
              <w:rPr>
                <w:noProof/>
                <w:webHidden/>
              </w:rPr>
              <w:tab/>
            </w:r>
            <w:r w:rsidR="00172D89">
              <w:rPr>
                <w:noProof/>
                <w:webHidden/>
              </w:rPr>
              <w:fldChar w:fldCharType="begin"/>
            </w:r>
            <w:r w:rsidR="00172D89">
              <w:rPr>
                <w:noProof/>
                <w:webHidden/>
              </w:rPr>
              <w:instrText xml:space="preserve"> PAGEREF _Toc486415641 \h </w:instrText>
            </w:r>
            <w:r w:rsidR="00172D89">
              <w:rPr>
                <w:noProof/>
                <w:webHidden/>
              </w:rPr>
            </w:r>
            <w:r w:rsidR="00172D89">
              <w:rPr>
                <w:noProof/>
                <w:webHidden/>
              </w:rPr>
              <w:fldChar w:fldCharType="separate"/>
            </w:r>
            <w:r w:rsidR="00FC3A58">
              <w:rPr>
                <w:noProof/>
                <w:webHidden/>
              </w:rPr>
              <w:t>35</w:t>
            </w:r>
            <w:r w:rsidR="00172D89">
              <w:rPr>
                <w:noProof/>
                <w:webHidden/>
              </w:rPr>
              <w:fldChar w:fldCharType="end"/>
            </w:r>
          </w:hyperlink>
        </w:p>
        <w:p w14:paraId="0D659FB5" w14:textId="77777777" w:rsidR="00172D89" w:rsidRDefault="008E38F3">
          <w:pPr>
            <w:pStyle w:val="Sommario1"/>
            <w:rPr>
              <w:rFonts w:asciiTheme="minorHAnsi" w:eastAsiaTheme="minorEastAsia" w:hAnsiTheme="minorHAnsi" w:cstheme="minorBidi"/>
              <w:noProof/>
              <w:szCs w:val="22"/>
              <w:lang w:eastAsia="it-IT" w:bidi="ar-SA"/>
            </w:rPr>
          </w:pPr>
          <w:hyperlink w:anchor="_Toc486415642" w:history="1">
            <w:r w:rsidR="00172D89" w:rsidRPr="00BF51AB">
              <w:rPr>
                <w:rStyle w:val="Collegamentoipertestuale"/>
                <w:rFonts w:eastAsia="Calibri"/>
                <w:noProof/>
              </w:rPr>
              <w:t>5.3 Accentramento delle attività ospedaliere</w:t>
            </w:r>
            <w:r w:rsidR="00172D89">
              <w:rPr>
                <w:noProof/>
                <w:webHidden/>
              </w:rPr>
              <w:tab/>
            </w:r>
            <w:r w:rsidR="00172D89">
              <w:rPr>
                <w:noProof/>
                <w:webHidden/>
              </w:rPr>
              <w:fldChar w:fldCharType="begin"/>
            </w:r>
            <w:r w:rsidR="00172D89">
              <w:rPr>
                <w:noProof/>
                <w:webHidden/>
              </w:rPr>
              <w:instrText xml:space="preserve"> PAGEREF _Toc486415642 \h </w:instrText>
            </w:r>
            <w:r w:rsidR="00172D89">
              <w:rPr>
                <w:noProof/>
                <w:webHidden/>
              </w:rPr>
            </w:r>
            <w:r w:rsidR="00172D89">
              <w:rPr>
                <w:noProof/>
                <w:webHidden/>
              </w:rPr>
              <w:fldChar w:fldCharType="separate"/>
            </w:r>
            <w:r w:rsidR="00FC3A58">
              <w:rPr>
                <w:noProof/>
                <w:webHidden/>
              </w:rPr>
              <w:t>36</w:t>
            </w:r>
            <w:r w:rsidR="00172D89">
              <w:rPr>
                <w:noProof/>
                <w:webHidden/>
              </w:rPr>
              <w:fldChar w:fldCharType="end"/>
            </w:r>
          </w:hyperlink>
        </w:p>
        <w:p w14:paraId="0EAC9E2D" w14:textId="77777777" w:rsidR="00172D89" w:rsidRDefault="008E38F3">
          <w:pPr>
            <w:pStyle w:val="Sommario1"/>
            <w:rPr>
              <w:rFonts w:asciiTheme="minorHAnsi" w:eastAsiaTheme="minorEastAsia" w:hAnsiTheme="minorHAnsi" w:cstheme="minorBidi"/>
              <w:noProof/>
              <w:szCs w:val="22"/>
              <w:lang w:eastAsia="it-IT" w:bidi="ar-SA"/>
            </w:rPr>
          </w:pPr>
          <w:hyperlink w:anchor="_Toc486415643" w:history="1">
            <w:r w:rsidR="00172D89" w:rsidRPr="00BF51AB">
              <w:rPr>
                <w:rStyle w:val="Collegamentoipertestuale"/>
                <w:rFonts w:eastAsia="Calibri"/>
                <w:noProof/>
              </w:rPr>
              <w:t>5.4 Sicurezza delle cure</w:t>
            </w:r>
            <w:r w:rsidR="00172D89">
              <w:rPr>
                <w:noProof/>
                <w:webHidden/>
              </w:rPr>
              <w:tab/>
            </w:r>
            <w:r w:rsidR="00172D89">
              <w:rPr>
                <w:noProof/>
                <w:webHidden/>
              </w:rPr>
              <w:fldChar w:fldCharType="begin"/>
            </w:r>
            <w:r w:rsidR="00172D89">
              <w:rPr>
                <w:noProof/>
                <w:webHidden/>
              </w:rPr>
              <w:instrText xml:space="preserve"> PAGEREF _Toc486415643 \h </w:instrText>
            </w:r>
            <w:r w:rsidR="00172D89">
              <w:rPr>
                <w:noProof/>
                <w:webHidden/>
              </w:rPr>
            </w:r>
            <w:r w:rsidR="00172D89">
              <w:rPr>
                <w:noProof/>
                <w:webHidden/>
              </w:rPr>
              <w:fldChar w:fldCharType="separate"/>
            </w:r>
            <w:r w:rsidR="00FC3A58">
              <w:rPr>
                <w:noProof/>
                <w:webHidden/>
              </w:rPr>
              <w:t>39</w:t>
            </w:r>
            <w:r w:rsidR="00172D89">
              <w:rPr>
                <w:noProof/>
                <w:webHidden/>
              </w:rPr>
              <w:fldChar w:fldCharType="end"/>
            </w:r>
          </w:hyperlink>
        </w:p>
        <w:p w14:paraId="0F3CD966" w14:textId="77777777" w:rsidR="00172D89" w:rsidRDefault="008E38F3">
          <w:pPr>
            <w:pStyle w:val="Sommario1"/>
            <w:rPr>
              <w:rFonts w:asciiTheme="minorHAnsi" w:eastAsiaTheme="minorEastAsia" w:hAnsiTheme="minorHAnsi" w:cstheme="minorBidi"/>
              <w:noProof/>
              <w:szCs w:val="22"/>
              <w:lang w:eastAsia="it-IT" w:bidi="ar-SA"/>
            </w:rPr>
          </w:pPr>
          <w:hyperlink w:anchor="_Toc486415644" w:history="1">
            <w:r w:rsidR="00172D89" w:rsidRPr="00BF51AB">
              <w:rPr>
                <w:rStyle w:val="Collegamentoipertestuale"/>
                <w:rFonts w:eastAsia="Calibri"/>
                <w:noProof/>
              </w:rPr>
              <w:t>5.5 Governance ed appropriatezza d’uso dei farmaci</w:t>
            </w:r>
            <w:r w:rsidR="00172D89">
              <w:rPr>
                <w:noProof/>
                <w:webHidden/>
              </w:rPr>
              <w:tab/>
            </w:r>
            <w:r w:rsidR="00172D89">
              <w:rPr>
                <w:noProof/>
                <w:webHidden/>
              </w:rPr>
              <w:fldChar w:fldCharType="begin"/>
            </w:r>
            <w:r w:rsidR="00172D89">
              <w:rPr>
                <w:noProof/>
                <w:webHidden/>
              </w:rPr>
              <w:instrText xml:space="preserve"> PAGEREF _Toc486415644 \h </w:instrText>
            </w:r>
            <w:r w:rsidR="00172D89">
              <w:rPr>
                <w:noProof/>
                <w:webHidden/>
              </w:rPr>
            </w:r>
            <w:r w:rsidR="00172D89">
              <w:rPr>
                <w:noProof/>
                <w:webHidden/>
              </w:rPr>
              <w:fldChar w:fldCharType="separate"/>
            </w:r>
            <w:r w:rsidR="00FC3A58">
              <w:rPr>
                <w:noProof/>
                <w:webHidden/>
              </w:rPr>
              <w:t>39</w:t>
            </w:r>
            <w:r w:rsidR="00172D89">
              <w:rPr>
                <w:noProof/>
                <w:webHidden/>
              </w:rPr>
              <w:fldChar w:fldCharType="end"/>
            </w:r>
          </w:hyperlink>
        </w:p>
        <w:p w14:paraId="2C6CE89C" w14:textId="77777777" w:rsidR="00172D89" w:rsidRDefault="008E38F3">
          <w:pPr>
            <w:pStyle w:val="Sommario1"/>
            <w:rPr>
              <w:rFonts w:asciiTheme="minorHAnsi" w:eastAsiaTheme="minorEastAsia" w:hAnsiTheme="minorHAnsi" w:cstheme="minorBidi"/>
              <w:noProof/>
              <w:szCs w:val="22"/>
              <w:lang w:eastAsia="it-IT" w:bidi="ar-SA"/>
            </w:rPr>
          </w:pPr>
          <w:hyperlink w:anchor="_Toc486415645" w:history="1">
            <w:r w:rsidR="00172D89" w:rsidRPr="00BF51AB">
              <w:rPr>
                <w:rStyle w:val="Collegamentoipertestuale"/>
                <w:rFonts w:eastAsia="Calibri"/>
                <w:noProof/>
              </w:rPr>
              <w:t>5.6 Governo dei dispositivi medici</w:t>
            </w:r>
            <w:r w:rsidR="00172D89">
              <w:rPr>
                <w:noProof/>
                <w:webHidden/>
              </w:rPr>
              <w:tab/>
            </w:r>
            <w:r w:rsidR="00172D89">
              <w:rPr>
                <w:noProof/>
                <w:webHidden/>
              </w:rPr>
              <w:fldChar w:fldCharType="begin"/>
            </w:r>
            <w:r w:rsidR="00172D89">
              <w:rPr>
                <w:noProof/>
                <w:webHidden/>
              </w:rPr>
              <w:instrText xml:space="preserve"> PAGEREF _Toc486415645 \h </w:instrText>
            </w:r>
            <w:r w:rsidR="00172D89">
              <w:rPr>
                <w:noProof/>
                <w:webHidden/>
              </w:rPr>
            </w:r>
            <w:r w:rsidR="00172D89">
              <w:rPr>
                <w:noProof/>
                <w:webHidden/>
              </w:rPr>
              <w:fldChar w:fldCharType="separate"/>
            </w:r>
            <w:r w:rsidR="00FC3A58">
              <w:rPr>
                <w:noProof/>
                <w:webHidden/>
              </w:rPr>
              <w:t>39</w:t>
            </w:r>
            <w:r w:rsidR="00172D89">
              <w:rPr>
                <w:noProof/>
                <w:webHidden/>
              </w:rPr>
              <w:fldChar w:fldCharType="end"/>
            </w:r>
          </w:hyperlink>
        </w:p>
        <w:p w14:paraId="6924783E" w14:textId="77777777" w:rsidR="00172D89" w:rsidRDefault="008E38F3">
          <w:pPr>
            <w:pStyle w:val="Sommario1"/>
            <w:rPr>
              <w:rFonts w:asciiTheme="minorHAnsi" w:eastAsiaTheme="minorEastAsia" w:hAnsiTheme="minorHAnsi" w:cstheme="minorBidi"/>
              <w:noProof/>
              <w:szCs w:val="22"/>
              <w:lang w:eastAsia="it-IT" w:bidi="ar-SA"/>
            </w:rPr>
          </w:pPr>
          <w:hyperlink w:anchor="_Toc486415646" w:history="1">
            <w:r w:rsidR="00172D89" w:rsidRPr="00BF51AB">
              <w:rPr>
                <w:rStyle w:val="Collegamentoipertestuale"/>
                <w:rFonts w:eastAsia="Calibri"/>
                <w:noProof/>
              </w:rPr>
              <w:t>5.7 Laboratorio Centralizzato Farmaci Antiblastici</w:t>
            </w:r>
            <w:r w:rsidR="00172D89">
              <w:rPr>
                <w:noProof/>
                <w:webHidden/>
              </w:rPr>
              <w:tab/>
            </w:r>
            <w:r w:rsidR="00172D89">
              <w:rPr>
                <w:noProof/>
                <w:webHidden/>
              </w:rPr>
              <w:fldChar w:fldCharType="begin"/>
            </w:r>
            <w:r w:rsidR="00172D89">
              <w:rPr>
                <w:noProof/>
                <w:webHidden/>
              </w:rPr>
              <w:instrText xml:space="preserve"> PAGEREF _Toc486415646 \h </w:instrText>
            </w:r>
            <w:r w:rsidR="00172D89">
              <w:rPr>
                <w:noProof/>
                <w:webHidden/>
              </w:rPr>
            </w:r>
            <w:r w:rsidR="00172D89">
              <w:rPr>
                <w:noProof/>
                <w:webHidden/>
              </w:rPr>
              <w:fldChar w:fldCharType="separate"/>
            </w:r>
            <w:r w:rsidR="00FC3A58">
              <w:rPr>
                <w:noProof/>
                <w:webHidden/>
              </w:rPr>
              <w:t>40</w:t>
            </w:r>
            <w:r w:rsidR="00172D89">
              <w:rPr>
                <w:noProof/>
                <w:webHidden/>
              </w:rPr>
              <w:fldChar w:fldCharType="end"/>
            </w:r>
          </w:hyperlink>
        </w:p>
        <w:p w14:paraId="3725DEFB" w14:textId="77777777" w:rsidR="00172D89" w:rsidRDefault="008E38F3">
          <w:pPr>
            <w:pStyle w:val="Sommario2"/>
            <w:rPr>
              <w:rFonts w:asciiTheme="minorHAnsi" w:eastAsiaTheme="minorEastAsia" w:hAnsiTheme="minorHAnsi" w:cstheme="minorBidi"/>
              <w:noProof/>
              <w:szCs w:val="22"/>
              <w:lang w:eastAsia="it-IT" w:bidi="ar-SA"/>
            </w:rPr>
          </w:pPr>
          <w:hyperlink w:anchor="_Toc486415647" w:history="1">
            <w:r w:rsidR="00172D89" w:rsidRPr="00BF51AB">
              <w:rPr>
                <w:rStyle w:val="Collegamentoipertestuale"/>
                <w:noProof/>
              </w:rPr>
              <w:t>6 Politiche di controllo, misurazione, valutazione e rendicontazione interna ed esterna</w:t>
            </w:r>
            <w:r w:rsidR="00172D89">
              <w:rPr>
                <w:noProof/>
                <w:webHidden/>
              </w:rPr>
              <w:tab/>
            </w:r>
            <w:r w:rsidR="00172D89">
              <w:rPr>
                <w:noProof/>
                <w:webHidden/>
              </w:rPr>
              <w:fldChar w:fldCharType="begin"/>
            </w:r>
            <w:r w:rsidR="00172D89">
              <w:rPr>
                <w:noProof/>
                <w:webHidden/>
              </w:rPr>
              <w:instrText xml:space="preserve"> PAGEREF _Toc486415647 \h </w:instrText>
            </w:r>
            <w:r w:rsidR="00172D89">
              <w:rPr>
                <w:noProof/>
                <w:webHidden/>
              </w:rPr>
            </w:r>
            <w:r w:rsidR="00172D89">
              <w:rPr>
                <w:noProof/>
                <w:webHidden/>
              </w:rPr>
              <w:fldChar w:fldCharType="separate"/>
            </w:r>
            <w:r w:rsidR="00FC3A58">
              <w:rPr>
                <w:noProof/>
                <w:webHidden/>
              </w:rPr>
              <w:t>41</w:t>
            </w:r>
            <w:r w:rsidR="00172D89">
              <w:rPr>
                <w:noProof/>
                <w:webHidden/>
              </w:rPr>
              <w:fldChar w:fldCharType="end"/>
            </w:r>
          </w:hyperlink>
        </w:p>
        <w:p w14:paraId="42E811B5" w14:textId="77777777" w:rsidR="00172D89" w:rsidRDefault="008E38F3">
          <w:pPr>
            <w:pStyle w:val="Sommario1"/>
            <w:rPr>
              <w:rFonts w:asciiTheme="minorHAnsi" w:eastAsiaTheme="minorEastAsia" w:hAnsiTheme="minorHAnsi" w:cstheme="minorBidi"/>
              <w:noProof/>
              <w:szCs w:val="22"/>
              <w:lang w:eastAsia="it-IT" w:bidi="ar-SA"/>
            </w:rPr>
          </w:pPr>
          <w:hyperlink w:anchor="_Toc486415648" w:history="1">
            <w:r w:rsidR="00172D89" w:rsidRPr="00BF51AB">
              <w:rPr>
                <w:rStyle w:val="Collegamentoipertestuale"/>
                <w:rFonts w:eastAsia="Calibri"/>
                <w:noProof/>
              </w:rPr>
              <w:t>6.1 Sistema di valutazione SIVER: analisi per singole aree</w:t>
            </w:r>
            <w:r w:rsidR="00172D89">
              <w:rPr>
                <w:noProof/>
                <w:webHidden/>
              </w:rPr>
              <w:tab/>
            </w:r>
            <w:r w:rsidR="00172D89">
              <w:rPr>
                <w:noProof/>
                <w:webHidden/>
              </w:rPr>
              <w:fldChar w:fldCharType="begin"/>
            </w:r>
            <w:r w:rsidR="00172D89">
              <w:rPr>
                <w:noProof/>
                <w:webHidden/>
              </w:rPr>
              <w:instrText xml:space="preserve"> PAGEREF _Toc486415648 \h </w:instrText>
            </w:r>
            <w:r w:rsidR="00172D89">
              <w:rPr>
                <w:noProof/>
                <w:webHidden/>
              </w:rPr>
            </w:r>
            <w:r w:rsidR="00172D89">
              <w:rPr>
                <w:noProof/>
                <w:webHidden/>
              </w:rPr>
              <w:fldChar w:fldCharType="separate"/>
            </w:r>
            <w:r w:rsidR="00FC3A58">
              <w:rPr>
                <w:noProof/>
                <w:webHidden/>
              </w:rPr>
              <w:t>42</w:t>
            </w:r>
            <w:r w:rsidR="00172D89">
              <w:rPr>
                <w:noProof/>
                <w:webHidden/>
              </w:rPr>
              <w:fldChar w:fldCharType="end"/>
            </w:r>
          </w:hyperlink>
        </w:p>
        <w:p w14:paraId="5BFC3461" w14:textId="77777777" w:rsidR="00172D89" w:rsidRDefault="008E38F3">
          <w:pPr>
            <w:pStyle w:val="Sommario1"/>
            <w:rPr>
              <w:rFonts w:asciiTheme="minorHAnsi" w:eastAsiaTheme="minorEastAsia" w:hAnsiTheme="minorHAnsi" w:cstheme="minorBidi"/>
              <w:noProof/>
              <w:szCs w:val="22"/>
              <w:lang w:eastAsia="it-IT" w:bidi="ar-SA"/>
            </w:rPr>
          </w:pPr>
          <w:hyperlink w:anchor="_Toc486415649" w:history="1">
            <w:r w:rsidR="00172D89" w:rsidRPr="00BF51AB">
              <w:rPr>
                <w:rStyle w:val="Collegamentoipertestuale"/>
                <w:rFonts w:eastAsia="Calibri"/>
                <w:noProof/>
              </w:rPr>
              <w:t>6.2 Posizionamento PNE – Treemap edizione 2016</w:t>
            </w:r>
            <w:r w:rsidR="00172D89">
              <w:rPr>
                <w:noProof/>
                <w:webHidden/>
              </w:rPr>
              <w:tab/>
            </w:r>
            <w:r w:rsidR="00172D89">
              <w:rPr>
                <w:noProof/>
                <w:webHidden/>
              </w:rPr>
              <w:fldChar w:fldCharType="begin"/>
            </w:r>
            <w:r w:rsidR="00172D89">
              <w:rPr>
                <w:noProof/>
                <w:webHidden/>
              </w:rPr>
              <w:instrText xml:space="preserve"> PAGEREF _Toc486415649 \h </w:instrText>
            </w:r>
            <w:r w:rsidR="00172D89">
              <w:rPr>
                <w:noProof/>
                <w:webHidden/>
              </w:rPr>
            </w:r>
            <w:r w:rsidR="00172D89">
              <w:rPr>
                <w:noProof/>
                <w:webHidden/>
              </w:rPr>
              <w:fldChar w:fldCharType="separate"/>
            </w:r>
            <w:r w:rsidR="00FC3A58">
              <w:rPr>
                <w:noProof/>
                <w:webHidden/>
              </w:rPr>
              <w:t>48</w:t>
            </w:r>
            <w:r w:rsidR="00172D89">
              <w:rPr>
                <w:noProof/>
                <w:webHidden/>
              </w:rPr>
              <w:fldChar w:fldCharType="end"/>
            </w:r>
          </w:hyperlink>
        </w:p>
        <w:p w14:paraId="75724F17" w14:textId="77777777" w:rsidR="00172D89" w:rsidRDefault="008E38F3">
          <w:pPr>
            <w:pStyle w:val="Sommario1"/>
            <w:rPr>
              <w:rFonts w:asciiTheme="minorHAnsi" w:eastAsiaTheme="minorEastAsia" w:hAnsiTheme="minorHAnsi" w:cstheme="minorBidi"/>
              <w:noProof/>
              <w:szCs w:val="22"/>
              <w:lang w:eastAsia="it-IT" w:bidi="ar-SA"/>
            </w:rPr>
          </w:pPr>
          <w:hyperlink w:anchor="_Toc486415650" w:history="1">
            <w:r w:rsidR="00172D89" w:rsidRPr="00BF51AB">
              <w:rPr>
                <w:rStyle w:val="Collegamentoipertestuale"/>
                <w:rFonts w:eastAsia="Calibri"/>
                <w:noProof/>
              </w:rPr>
              <w:t>6.3 Sistema di Valutazione delle Performance dei Sistemi Sanitari Regionali – Bersaglio 2016</w:t>
            </w:r>
            <w:r w:rsidR="00172D89">
              <w:rPr>
                <w:noProof/>
                <w:webHidden/>
              </w:rPr>
              <w:tab/>
            </w:r>
            <w:r w:rsidR="00172D89">
              <w:rPr>
                <w:noProof/>
                <w:webHidden/>
              </w:rPr>
              <w:fldChar w:fldCharType="begin"/>
            </w:r>
            <w:r w:rsidR="00172D89">
              <w:rPr>
                <w:noProof/>
                <w:webHidden/>
              </w:rPr>
              <w:instrText xml:space="preserve"> PAGEREF _Toc486415650 \h </w:instrText>
            </w:r>
            <w:r w:rsidR="00172D89">
              <w:rPr>
                <w:noProof/>
                <w:webHidden/>
              </w:rPr>
            </w:r>
            <w:r w:rsidR="00172D89">
              <w:rPr>
                <w:noProof/>
                <w:webHidden/>
              </w:rPr>
              <w:fldChar w:fldCharType="separate"/>
            </w:r>
            <w:r w:rsidR="00FC3A58">
              <w:rPr>
                <w:noProof/>
                <w:webHidden/>
              </w:rPr>
              <w:t>52</w:t>
            </w:r>
            <w:r w:rsidR="00172D89">
              <w:rPr>
                <w:noProof/>
                <w:webHidden/>
              </w:rPr>
              <w:fldChar w:fldCharType="end"/>
            </w:r>
          </w:hyperlink>
        </w:p>
        <w:p w14:paraId="3D512E1A" w14:textId="77777777" w:rsidR="00172D89" w:rsidRDefault="008E38F3">
          <w:pPr>
            <w:pStyle w:val="Sommario2"/>
            <w:rPr>
              <w:rFonts w:asciiTheme="minorHAnsi" w:eastAsiaTheme="minorEastAsia" w:hAnsiTheme="minorHAnsi" w:cstheme="minorBidi"/>
              <w:noProof/>
              <w:szCs w:val="22"/>
              <w:lang w:eastAsia="it-IT" w:bidi="ar-SA"/>
            </w:rPr>
          </w:pPr>
          <w:hyperlink w:anchor="_Toc486415651" w:history="1">
            <w:r w:rsidR="00172D89" w:rsidRPr="00BF51AB">
              <w:rPr>
                <w:rStyle w:val="Collegamentoipertestuale"/>
                <w:noProof/>
              </w:rPr>
              <w:t>7. La sostenibilità economico finanziaria</w:t>
            </w:r>
            <w:r w:rsidR="00172D89">
              <w:rPr>
                <w:noProof/>
                <w:webHidden/>
              </w:rPr>
              <w:tab/>
            </w:r>
            <w:r w:rsidR="00172D89">
              <w:rPr>
                <w:noProof/>
                <w:webHidden/>
              </w:rPr>
              <w:fldChar w:fldCharType="begin"/>
            </w:r>
            <w:r w:rsidR="00172D89">
              <w:rPr>
                <w:noProof/>
                <w:webHidden/>
              </w:rPr>
              <w:instrText xml:space="preserve"> PAGEREF _Toc486415651 \h </w:instrText>
            </w:r>
            <w:r w:rsidR="00172D89">
              <w:rPr>
                <w:noProof/>
                <w:webHidden/>
              </w:rPr>
            </w:r>
            <w:r w:rsidR="00172D89">
              <w:rPr>
                <w:noProof/>
                <w:webHidden/>
              </w:rPr>
              <w:fldChar w:fldCharType="separate"/>
            </w:r>
            <w:r w:rsidR="00FC3A58">
              <w:rPr>
                <w:noProof/>
                <w:webHidden/>
              </w:rPr>
              <w:t>54</w:t>
            </w:r>
            <w:r w:rsidR="00172D89">
              <w:rPr>
                <w:noProof/>
                <w:webHidden/>
              </w:rPr>
              <w:fldChar w:fldCharType="end"/>
            </w:r>
          </w:hyperlink>
        </w:p>
        <w:p w14:paraId="6E6261F3" w14:textId="77777777" w:rsidR="00172D89" w:rsidRDefault="008E38F3">
          <w:pPr>
            <w:pStyle w:val="Sommario1"/>
            <w:rPr>
              <w:rFonts w:asciiTheme="minorHAnsi" w:eastAsiaTheme="minorEastAsia" w:hAnsiTheme="minorHAnsi" w:cstheme="minorBidi"/>
              <w:noProof/>
              <w:szCs w:val="22"/>
              <w:lang w:eastAsia="it-IT" w:bidi="ar-SA"/>
            </w:rPr>
          </w:pPr>
          <w:hyperlink w:anchor="_Toc486415652" w:history="1">
            <w:r w:rsidR="00172D89" w:rsidRPr="00BF51AB">
              <w:rPr>
                <w:rStyle w:val="Collegamentoipertestuale"/>
                <w:rFonts w:eastAsia="Calibri"/>
                <w:noProof/>
              </w:rPr>
              <w:t>7.1 Risultato netto di esercizio 2014-2016 (in euro)</w:t>
            </w:r>
            <w:r w:rsidR="00172D89">
              <w:rPr>
                <w:noProof/>
                <w:webHidden/>
              </w:rPr>
              <w:tab/>
            </w:r>
            <w:r w:rsidR="00172D89">
              <w:rPr>
                <w:noProof/>
                <w:webHidden/>
              </w:rPr>
              <w:fldChar w:fldCharType="begin"/>
            </w:r>
            <w:r w:rsidR="00172D89">
              <w:rPr>
                <w:noProof/>
                <w:webHidden/>
              </w:rPr>
              <w:instrText xml:space="preserve"> PAGEREF _Toc486415652 \h </w:instrText>
            </w:r>
            <w:r w:rsidR="00172D89">
              <w:rPr>
                <w:noProof/>
                <w:webHidden/>
              </w:rPr>
            </w:r>
            <w:r w:rsidR="00172D89">
              <w:rPr>
                <w:noProof/>
                <w:webHidden/>
              </w:rPr>
              <w:fldChar w:fldCharType="separate"/>
            </w:r>
            <w:r w:rsidR="00FC3A58">
              <w:rPr>
                <w:noProof/>
                <w:webHidden/>
              </w:rPr>
              <w:t>54</w:t>
            </w:r>
            <w:r w:rsidR="00172D89">
              <w:rPr>
                <w:noProof/>
                <w:webHidden/>
              </w:rPr>
              <w:fldChar w:fldCharType="end"/>
            </w:r>
          </w:hyperlink>
        </w:p>
        <w:p w14:paraId="4F54A48F" w14:textId="77777777" w:rsidR="00172D89" w:rsidRDefault="008E38F3">
          <w:pPr>
            <w:pStyle w:val="Sommario1"/>
            <w:rPr>
              <w:rFonts w:asciiTheme="minorHAnsi" w:eastAsiaTheme="minorEastAsia" w:hAnsiTheme="minorHAnsi" w:cstheme="minorBidi"/>
              <w:noProof/>
              <w:szCs w:val="22"/>
              <w:lang w:eastAsia="it-IT" w:bidi="ar-SA"/>
            </w:rPr>
          </w:pPr>
          <w:hyperlink w:anchor="_Toc486415653" w:history="1">
            <w:r w:rsidR="00172D89" w:rsidRPr="00BF51AB">
              <w:rPr>
                <w:rStyle w:val="Collegamentoipertestuale"/>
                <w:rFonts w:eastAsia="Calibri"/>
                <w:noProof/>
              </w:rPr>
              <w:t>7.2 Costi pro-capite</w:t>
            </w:r>
            <w:r w:rsidR="00172D89">
              <w:rPr>
                <w:noProof/>
                <w:webHidden/>
              </w:rPr>
              <w:tab/>
            </w:r>
            <w:r w:rsidR="00172D89">
              <w:rPr>
                <w:noProof/>
                <w:webHidden/>
              </w:rPr>
              <w:fldChar w:fldCharType="begin"/>
            </w:r>
            <w:r w:rsidR="00172D89">
              <w:rPr>
                <w:noProof/>
                <w:webHidden/>
              </w:rPr>
              <w:instrText xml:space="preserve"> PAGEREF _Toc486415653 \h </w:instrText>
            </w:r>
            <w:r w:rsidR="00172D89">
              <w:rPr>
                <w:noProof/>
                <w:webHidden/>
              </w:rPr>
            </w:r>
            <w:r w:rsidR="00172D89">
              <w:rPr>
                <w:noProof/>
                <w:webHidden/>
              </w:rPr>
              <w:fldChar w:fldCharType="separate"/>
            </w:r>
            <w:r w:rsidR="00FC3A58">
              <w:rPr>
                <w:noProof/>
                <w:webHidden/>
              </w:rPr>
              <w:t>55</w:t>
            </w:r>
            <w:r w:rsidR="00172D89">
              <w:rPr>
                <w:noProof/>
                <w:webHidden/>
              </w:rPr>
              <w:fldChar w:fldCharType="end"/>
            </w:r>
          </w:hyperlink>
        </w:p>
        <w:p w14:paraId="7D39D065" w14:textId="77777777" w:rsidR="00172D89" w:rsidRDefault="008E38F3">
          <w:pPr>
            <w:pStyle w:val="Sommario1"/>
            <w:rPr>
              <w:rFonts w:asciiTheme="minorHAnsi" w:eastAsiaTheme="minorEastAsia" w:hAnsiTheme="minorHAnsi" w:cstheme="minorBidi"/>
              <w:noProof/>
              <w:szCs w:val="22"/>
              <w:lang w:eastAsia="it-IT" w:bidi="ar-SA"/>
            </w:rPr>
          </w:pPr>
          <w:hyperlink w:anchor="_Toc486415654" w:history="1">
            <w:r w:rsidR="00172D89" w:rsidRPr="00BF51AB">
              <w:rPr>
                <w:rStyle w:val="Collegamentoipertestuale"/>
                <w:rFonts w:eastAsia="Calibri"/>
                <w:noProof/>
              </w:rPr>
              <w:t>7.3 Spesa del Personale</w:t>
            </w:r>
            <w:r w:rsidR="00172D89">
              <w:rPr>
                <w:noProof/>
                <w:webHidden/>
              </w:rPr>
              <w:tab/>
            </w:r>
            <w:r w:rsidR="00172D89">
              <w:rPr>
                <w:noProof/>
                <w:webHidden/>
              </w:rPr>
              <w:fldChar w:fldCharType="begin"/>
            </w:r>
            <w:r w:rsidR="00172D89">
              <w:rPr>
                <w:noProof/>
                <w:webHidden/>
              </w:rPr>
              <w:instrText xml:space="preserve"> PAGEREF _Toc486415654 \h </w:instrText>
            </w:r>
            <w:r w:rsidR="00172D89">
              <w:rPr>
                <w:noProof/>
                <w:webHidden/>
              </w:rPr>
            </w:r>
            <w:r w:rsidR="00172D89">
              <w:rPr>
                <w:noProof/>
                <w:webHidden/>
              </w:rPr>
              <w:fldChar w:fldCharType="separate"/>
            </w:r>
            <w:r w:rsidR="00FC3A58">
              <w:rPr>
                <w:noProof/>
                <w:webHidden/>
              </w:rPr>
              <w:t>55</w:t>
            </w:r>
            <w:r w:rsidR="00172D89">
              <w:rPr>
                <w:noProof/>
                <w:webHidden/>
              </w:rPr>
              <w:fldChar w:fldCharType="end"/>
            </w:r>
          </w:hyperlink>
        </w:p>
        <w:p w14:paraId="2DFCB9B7" w14:textId="77777777" w:rsidR="00172D89" w:rsidRDefault="008E38F3">
          <w:pPr>
            <w:pStyle w:val="Sommario1"/>
            <w:rPr>
              <w:rFonts w:asciiTheme="minorHAnsi" w:eastAsiaTheme="minorEastAsia" w:hAnsiTheme="minorHAnsi" w:cstheme="minorBidi"/>
              <w:noProof/>
              <w:szCs w:val="22"/>
              <w:lang w:eastAsia="it-IT" w:bidi="ar-SA"/>
            </w:rPr>
          </w:pPr>
          <w:hyperlink w:anchor="_Toc486415655" w:history="1">
            <w:r w:rsidR="00172D89" w:rsidRPr="00BF51AB">
              <w:rPr>
                <w:rStyle w:val="Collegamentoipertestuale"/>
                <w:rFonts w:eastAsia="Calibri"/>
                <w:noProof/>
              </w:rPr>
              <w:t>7.4 Spesa Farmaceutica</w:t>
            </w:r>
            <w:r w:rsidR="00172D89">
              <w:rPr>
                <w:noProof/>
                <w:webHidden/>
              </w:rPr>
              <w:tab/>
            </w:r>
            <w:r w:rsidR="00172D89">
              <w:rPr>
                <w:noProof/>
                <w:webHidden/>
              </w:rPr>
              <w:fldChar w:fldCharType="begin"/>
            </w:r>
            <w:r w:rsidR="00172D89">
              <w:rPr>
                <w:noProof/>
                <w:webHidden/>
              </w:rPr>
              <w:instrText xml:space="preserve"> PAGEREF _Toc486415655 \h </w:instrText>
            </w:r>
            <w:r w:rsidR="00172D89">
              <w:rPr>
                <w:noProof/>
                <w:webHidden/>
              </w:rPr>
            </w:r>
            <w:r w:rsidR="00172D89">
              <w:rPr>
                <w:noProof/>
                <w:webHidden/>
              </w:rPr>
              <w:fldChar w:fldCharType="separate"/>
            </w:r>
            <w:r w:rsidR="00FC3A58">
              <w:rPr>
                <w:noProof/>
                <w:webHidden/>
              </w:rPr>
              <w:t>56</w:t>
            </w:r>
            <w:r w:rsidR="00172D89">
              <w:rPr>
                <w:noProof/>
                <w:webHidden/>
              </w:rPr>
              <w:fldChar w:fldCharType="end"/>
            </w:r>
          </w:hyperlink>
        </w:p>
        <w:p w14:paraId="536D613E" w14:textId="77777777" w:rsidR="00172D89" w:rsidRDefault="008E38F3">
          <w:pPr>
            <w:pStyle w:val="Sommario2"/>
            <w:rPr>
              <w:rFonts w:asciiTheme="minorHAnsi" w:eastAsiaTheme="minorEastAsia" w:hAnsiTheme="minorHAnsi" w:cstheme="minorBidi"/>
              <w:noProof/>
              <w:szCs w:val="22"/>
              <w:lang w:eastAsia="it-IT" w:bidi="ar-SA"/>
            </w:rPr>
          </w:pPr>
          <w:hyperlink w:anchor="_Toc486415656" w:history="1">
            <w:r w:rsidR="00172D89" w:rsidRPr="00BF51AB">
              <w:rPr>
                <w:rStyle w:val="Collegamentoipertestuale"/>
                <w:noProof/>
              </w:rPr>
              <w:t>8. Conclusioni</w:t>
            </w:r>
            <w:r w:rsidR="00172D89">
              <w:rPr>
                <w:noProof/>
                <w:webHidden/>
              </w:rPr>
              <w:tab/>
            </w:r>
            <w:r w:rsidR="00172D89">
              <w:rPr>
                <w:noProof/>
                <w:webHidden/>
              </w:rPr>
              <w:fldChar w:fldCharType="begin"/>
            </w:r>
            <w:r w:rsidR="00172D89">
              <w:rPr>
                <w:noProof/>
                <w:webHidden/>
              </w:rPr>
              <w:instrText xml:space="preserve"> PAGEREF _Toc486415656 \h </w:instrText>
            </w:r>
            <w:r w:rsidR="00172D89">
              <w:rPr>
                <w:noProof/>
                <w:webHidden/>
              </w:rPr>
            </w:r>
            <w:r w:rsidR="00172D89">
              <w:rPr>
                <w:noProof/>
                <w:webHidden/>
              </w:rPr>
              <w:fldChar w:fldCharType="separate"/>
            </w:r>
            <w:r w:rsidR="00FC3A58">
              <w:rPr>
                <w:noProof/>
                <w:webHidden/>
              </w:rPr>
              <w:t>57</w:t>
            </w:r>
            <w:r w:rsidR="00172D89">
              <w:rPr>
                <w:noProof/>
                <w:webHidden/>
              </w:rPr>
              <w:fldChar w:fldCharType="end"/>
            </w:r>
          </w:hyperlink>
        </w:p>
        <w:p w14:paraId="0081ADA5" w14:textId="77777777" w:rsidR="00172D89" w:rsidRDefault="00172D89">
          <w:pPr>
            <w:pStyle w:val="Sommario2"/>
            <w:rPr>
              <w:rStyle w:val="Collegamentoipertestuale"/>
              <w:noProof/>
            </w:rPr>
          </w:pPr>
        </w:p>
        <w:p w14:paraId="26387778" w14:textId="77777777" w:rsidR="00172D89" w:rsidRDefault="008E38F3">
          <w:pPr>
            <w:pStyle w:val="Sommario2"/>
            <w:rPr>
              <w:rFonts w:asciiTheme="minorHAnsi" w:eastAsiaTheme="minorEastAsia" w:hAnsiTheme="minorHAnsi" w:cstheme="minorBidi"/>
              <w:noProof/>
              <w:szCs w:val="22"/>
              <w:lang w:eastAsia="it-IT" w:bidi="ar-SA"/>
            </w:rPr>
          </w:pPr>
          <w:hyperlink w:anchor="_Toc486415657" w:history="1">
            <w:r w:rsidR="00172D89" w:rsidRPr="00BF51AB">
              <w:rPr>
                <w:rStyle w:val="Collegamentoipertestuale"/>
                <w:noProof/>
              </w:rPr>
              <w:t>ALLEGATO 1: RELAZIONE DEL DIRETTORE GENERALE AL BILANCIO D’ESERCIZIO 2016</w:t>
            </w:r>
            <w:r w:rsidR="00172D89">
              <w:rPr>
                <w:noProof/>
                <w:webHidden/>
              </w:rPr>
              <w:tab/>
            </w:r>
            <w:r w:rsidR="00172D89">
              <w:rPr>
                <w:noProof/>
                <w:webHidden/>
              </w:rPr>
              <w:fldChar w:fldCharType="begin"/>
            </w:r>
            <w:r w:rsidR="00172D89">
              <w:rPr>
                <w:noProof/>
                <w:webHidden/>
              </w:rPr>
              <w:instrText xml:space="preserve"> PAGEREF _Toc486415657 \h </w:instrText>
            </w:r>
            <w:r w:rsidR="00172D89">
              <w:rPr>
                <w:noProof/>
                <w:webHidden/>
              </w:rPr>
            </w:r>
            <w:r w:rsidR="00172D89">
              <w:rPr>
                <w:noProof/>
                <w:webHidden/>
              </w:rPr>
              <w:fldChar w:fldCharType="separate"/>
            </w:r>
            <w:r w:rsidR="00FC3A58">
              <w:rPr>
                <w:noProof/>
                <w:webHidden/>
              </w:rPr>
              <w:t>58</w:t>
            </w:r>
            <w:r w:rsidR="00172D89">
              <w:rPr>
                <w:noProof/>
                <w:webHidden/>
              </w:rPr>
              <w:fldChar w:fldCharType="end"/>
            </w:r>
          </w:hyperlink>
        </w:p>
        <w:p w14:paraId="5F4BF84E" w14:textId="77777777" w:rsidR="00172D89" w:rsidRDefault="008E38F3">
          <w:pPr>
            <w:pStyle w:val="Sommario2"/>
            <w:rPr>
              <w:rFonts w:asciiTheme="minorHAnsi" w:eastAsiaTheme="minorEastAsia" w:hAnsiTheme="minorHAnsi" w:cstheme="minorBidi"/>
              <w:noProof/>
              <w:szCs w:val="22"/>
              <w:lang w:eastAsia="it-IT" w:bidi="ar-SA"/>
            </w:rPr>
          </w:pPr>
          <w:hyperlink w:anchor="_Toc486415658" w:history="1">
            <w:r w:rsidR="00172D89" w:rsidRPr="00BF51AB">
              <w:rPr>
                <w:rStyle w:val="Collegamentoipertestuale"/>
                <w:noProof/>
              </w:rPr>
              <w:t>ALLEGATO 2: VALUTAZIONE  PRP ANNO 2016 EFFETTUATA DALLA RER</w:t>
            </w:r>
            <w:r w:rsidR="00172D89">
              <w:rPr>
                <w:noProof/>
                <w:webHidden/>
              </w:rPr>
              <w:tab/>
            </w:r>
            <w:r w:rsidR="00172D89">
              <w:rPr>
                <w:noProof/>
                <w:webHidden/>
              </w:rPr>
              <w:fldChar w:fldCharType="begin"/>
            </w:r>
            <w:r w:rsidR="00172D89">
              <w:rPr>
                <w:noProof/>
                <w:webHidden/>
              </w:rPr>
              <w:instrText xml:space="preserve"> PAGEREF _Toc486415658 \h </w:instrText>
            </w:r>
            <w:r w:rsidR="00172D89">
              <w:rPr>
                <w:noProof/>
                <w:webHidden/>
              </w:rPr>
            </w:r>
            <w:r w:rsidR="00172D89">
              <w:rPr>
                <w:noProof/>
                <w:webHidden/>
              </w:rPr>
              <w:fldChar w:fldCharType="separate"/>
            </w:r>
            <w:r w:rsidR="00FC3A58">
              <w:rPr>
                <w:noProof/>
                <w:webHidden/>
              </w:rPr>
              <w:t>58</w:t>
            </w:r>
            <w:r w:rsidR="00172D89">
              <w:rPr>
                <w:noProof/>
                <w:webHidden/>
              </w:rPr>
              <w:fldChar w:fldCharType="end"/>
            </w:r>
          </w:hyperlink>
        </w:p>
        <w:p w14:paraId="0DBD5CE7" w14:textId="77777777" w:rsidR="00E27519" w:rsidRDefault="0003178C">
          <w:r>
            <w:fldChar w:fldCharType="end"/>
          </w:r>
        </w:p>
      </w:sdtContent>
    </w:sdt>
    <w:p w14:paraId="34A1CA22" w14:textId="77777777" w:rsidR="00E27519" w:rsidRDefault="00E27519"/>
    <w:p w14:paraId="3DD44761" w14:textId="77777777" w:rsidR="00E27519" w:rsidRDefault="00E27519">
      <w:pPr>
        <w:spacing w:before="0"/>
        <w:ind w:left="708"/>
        <w:jc w:val="center"/>
        <w:rPr>
          <w:b/>
          <w:bCs/>
          <w:color w:val="000000"/>
          <w:szCs w:val="22"/>
        </w:rPr>
      </w:pPr>
    </w:p>
    <w:p w14:paraId="13C32397" w14:textId="77777777" w:rsidR="00E27519" w:rsidRDefault="00E27519">
      <w:pPr>
        <w:rPr>
          <w:b/>
          <w:bCs/>
          <w:color w:val="000000"/>
          <w:szCs w:val="22"/>
        </w:rPr>
      </w:pPr>
    </w:p>
    <w:p w14:paraId="698295E2" w14:textId="77777777" w:rsidR="00E27519" w:rsidRDefault="00E27519">
      <w:pPr>
        <w:rPr>
          <w:b/>
          <w:bCs/>
          <w:color w:val="000000"/>
          <w:szCs w:val="22"/>
        </w:rPr>
      </w:pPr>
    </w:p>
    <w:p w14:paraId="51BCE59A" w14:textId="77777777" w:rsidR="00E27519" w:rsidRDefault="00E27519">
      <w:pPr>
        <w:rPr>
          <w:b/>
          <w:bCs/>
        </w:rPr>
      </w:pPr>
    </w:p>
    <w:p w14:paraId="56C1315E" w14:textId="77777777" w:rsidR="00E27519" w:rsidRDefault="00E27519">
      <w:pPr>
        <w:rPr>
          <w:b/>
          <w:bCs/>
        </w:rPr>
      </w:pPr>
    </w:p>
    <w:p w14:paraId="4C8FB69E" w14:textId="77777777" w:rsidR="00E27519" w:rsidRDefault="00E27519">
      <w:pPr>
        <w:rPr>
          <w:b/>
          <w:bCs/>
        </w:rPr>
      </w:pPr>
    </w:p>
    <w:p w14:paraId="405DB293" w14:textId="77777777" w:rsidR="00E27519" w:rsidRDefault="00E27519">
      <w:pPr>
        <w:rPr>
          <w:b/>
          <w:bCs/>
        </w:rPr>
      </w:pPr>
    </w:p>
    <w:p w14:paraId="65988FCF" w14:textId="77777777" w:rsidR="00E27519" w:rsidRDefault="00E27519">
      <w:pPr>
        <w:rPr>
          <w:b/>
          <w:bCs/>
        </w:rPr>
      </w:pPr>
    </w:p>
    <w:p w14:paraId="28D1F34F" w14:textId="77777777" w:rsidR="00E27519" w:rsidRDefault="00E27519">
      <w:pPr>
        <w:rPr>
          <w:b/>
          <w:bCs/>
        </w:rPr>
      </w:pPr>
    </w:p>
    <w:p w14:paraId="196FE1E3" w14:textId="77777777" w:rsidR="00E27519" w:rsidRDefault="00E27519">
      <w:pPr>
        <w:rPr>
          <w:b/>
          <w:bCs/>
        </w:rPr>
      </w:pPr>
    </w:p>
    <w:p w14:paraId="7439802D" w14:textId="77777777" w:rsidR="00E27519" w:rsidRDefault="00E27519">
      <w:pPr>
        <w:rPr>
          <w:b/>
          <w:bCs/>
        </w:rPr>
      </w:pPr>
    </w:p>
    <w:p w14:paraId="5CF73FD3" w14:textId="77777777" w:rsidR="00E27519" w:rsidRDefault="00E27519">
      <w:pPr>
        <w:rPr>
          <w:b/>
          <w:bCs/>
        </w:rPr>
      </w:pPr>
    </w:p>
    <w:p w14:paraId="145856B3" w14:textId="77777777" w:rsidR="00E27519" w:rsidRDefault="0003178C">
      <w:pPr>
        <w:suppressAutoHyphens w:val="0"/>
        <w:spacing w:before="0"/>
        <w:rPr>
          <w:b/>
          <w:bCs/>
        </w:rPr>
      </w:pPr>
      <w:r>
        <w:br w:type="page"/>
      </w:r>
    </w:p>
    <w:p w14:paraId="1C02CABA" w14:textId="7E786DBC" w:rsidR="00E27519" w:rsidRDefault="00DD4B5B">
      <w:pPr>
        <w:pStyle w:val="Titolo1"/>
        <w:numPr>
          <w:ilvl w:val="0"/>
          <w:numId w:val="0"/>
        </w:numPr>
        <w:jc w:val="left"/>
        <w:rPr>
          <w:sz w:val="28"/>
        </w:rPr>
      </w:pPr>
      <w:bookmarkStart w:id="5" w:name="_Toc486415619"/>
      <w:r>
        <w:rPr>
          <w:sz w:val="28"/>
        </w:rPr>
        <w:lastRenderedPageBreak/>
        <w:t>Premessa</w:t>
      </w:r>
      <w:bookmarkEnd w:id="5"/>
    </w:p>
    <w:p w14:paraId="3227EFCD" w14:textId="77777777" w:rsidR="00E27519" w:rsidRDefault="00E27519">
      <w:pPr>
        <w:spacing w:before="0"/>
        <w:jc w:val="both"/>
        <w:rPr>
          <w:sz w:val="20"/>
        </w:rPr>
      </w:pPr>
    </w:p>
    <w:p w14:paraId="41276816" w14:textId="1F940720" w:rsidR="00E27519" w:rsidRDefault="0003178C">
      <w:pPr>
        <w:spacing w:before="0"/>
        <w:jc w:val="both"/>
        <w:rPr>
          <w:bCs/>
          <w:color w:val="000000"/>
          <w:sz w:val="20"/>
        </w:rPr>
      </w:pPr>
      <w:r>
        <w:rPr>
          <w:sz w:val="20"/>
        </w:rPr>
        <w:t>L’Azienda USL di Modena, in coerenza con la delibera 1 del 2014 e la delibera 3 del 2015 dell’Organismo Indipendente di Valutazione (OIV) degli</w:t>
      </w:r>
      <w:r>
        <w:rPr>
          <w:b/>
          <w:bCs/>
          <w:smallCaps/>
          <w:sz w:val="20"/>
        </w:rPr>
        <w:t xml:space="preserve"> </w:t>
      </w:r>
      <w:r>
        <w:rPr>
          <w:sz w:val="20"/>
        </w:rPr>
        <w:t xml:space="preserve">Enti e Aziende del Servizio Sanitario Regionale della Regione Emilia-Romagna, redige il Piano della </w:t>
      </w:r>
      <w:proofErr w:type="spellStart"/>
      <w:r>
        <w:rPr>
          <w:sz w:val="20"/>
        </w:rPr>
        <w:t>Perfomance</w:t>
      </w:r>
      <w:proofErr w:type="spellEnd"/>
      <w:r>
        <w:rPr>
          <w:sz w:val="20"/>
        </w:rPr>
        <w:t xml:space="preserve"> e procede periodicamente alla rendicontazione dei risultati realizzati in relazione agli obiettivi assegnati. </w:t>
      </w:r>
      <w:r>
        <w:rPr>
          <w:bCs/>
          <w:color w:val="000000"/>
          <w:sz w:val="20"/>
        </w:rPr>
        <w:t xml:space="preserve">Il ciclo di pianificazione impostato su Piano della Performance e Relazione è uno strumento, prevalentemente ma non esclusivamente ad uso esterno all’Azienda, che serve a rendicontare, ai diversi portatori di interesse, i risultati raggiunti dall’Azienda a seguito degli obiettivi strategici esplicitati nel Piano della Performance e negli ulteriori documenti di programmazione regionale e aziendale. </w:t>
      </w:r>
      <w:r>
        <w:rPr>
          <w:sz w:val="20"/>
        </w:rPr>
        <w:t xml:space="preserve">Il documento che segue è la Relazione sulla Performance </w:t>
      </w:r>
      <w:r>
        <w:rPr>
          <w:bCs/>
          <w:color w:val="000000"/>
          <w:sz w:val="20"/>
        </w:rPr>
        <w:t xml:space="preserve">a consuntivo dell’anno 2016 e si inquadra nella realizzazione del Piano della Performance 2016-18 approvato dall’Azienda il 30 giugno 2016. </w:t>
      </w:r>
    </w:p>
    <w:p w14:paraId="2E7AB8D5" w14:textId="77777777" w:rsidR="008E37FD" w:rsidRDefault="008E37FD">
      <w:pPr>
        <w:spacing w:before="0"/>
        <w:jc w:val="both"/>
        <w:rPr>
          <w:bCs/>
          <w:color w:val="000000"/>
          <w:sz w:val="20"/>
        </w:rPr>
      </w:pPr>
    </w:p>
    <w:p w14:paraId="1FD0DAF4" w14:textId="16436D29" w:rsidR="00E27519" w:rsidRDefault="00DD4B5B">
      <w:pPr>
        <w:pStyle w:val="Titolo1"/>
        <w:numPr>
          <w:ilvl w:val="0"/>
          <w:numId w:val="0"/>
        </w:numPr>
        <w:jc w:val="left"/>
        <w:rPr>
          <w:sz w:val="28"/>
        </w:rPr>
      </w:pPr>
      <w:bookmarkStart w:id="6" w:name="_Toc486415620"/>
      <w:r>
        <w:rPr>
          <w:sz w:val="28"/>
        </w:rPr>
        <w:t xml:space="preserve">Executive </w:t>
      </w:r>
      <w:proofErr w:type="spellStart"/>
      <w:r>
        <w:rPr>
          <w:sz w:val="28"/>
        </w:rPr>
        <w:t>Summary</w:t>
      </w:r>
      <w:bookmarkEnd w:id="6"/>
      <w:proofErr w:type="spellEnd"/>
    </w:p>
    <w:p w14:paraId="2A6C76A4" w14:textId="79A19643" w:rsidR="00E27519" w:rsidRPr="008E37FD" w:rsidRDefault="00992CB2" w:rsidP="008E37FD">
      <w:pPr>
        <w:jc w:val="both"/>
        <w:rPr>
          <w:sz w:val="20"/>
        </w:rPr>
      </w:pPr>
      <w:r w:rsidRPr="008E37FD">
        <w:rPr>
          <w:sz w:val="20"/>
        </w:rPr>
        <w:t>La Relazione della Performance 2016 descrive, per area del Piano Strategico 2016 – 18, i risultati raggiunti dall’Azienda USL di Modena nel corso dell’anno, focalizzandosi sinteticamente sugli aspetti maggiormente qualificanti. La Relazione riporta sia informazioni qualitative che, nel capitolo 6, alcuni indicatori quantitativi</w:t>
      </w:r>
      <w:r w:rsidR="00D556F0">
        <w:rPr>
          <w:sz w:val="20"/>
        </w:rPr>
        <w:t>,</w:t>
      </w:r>
      <w:r w:rsidRPr="008E37FD">
        <w:rPr>
          <w:sz w:val="20"/>
        </w:rPr>
        <w:t xml:space="preserve"> misurati dalla RER.</w:t>
      </w:r>
    </w:p>
    <w:p w14:paraId="1E104DAB" w14:textId="476CB364" w:rsidR="00E27519" w:rsidRDefault="00992CB2" w:rsidP="008E37FD">
      <w:pPr>
        <w:jc w:val="both"/>
        <w:rPr>
          <w:sz w:val="20"/>
        </w:rPr>
      </w:pPr>
      <w:r w:rsidRPr="008E37FD">
        <w:rPr>
          <w:sz w:val="20"/>
        </w:rPr>
        <w:t xml:space="preserve">Nel primo capitolo, “Le Aree strategiche di intervento del PP” è riportato in grande sintesi lo stato  di avanzamento dei progetti </w:t>
      </w:r>
      <w:r w:rsidR="00F87AC0">
        <w:rPr>
          <w:sz w:val="20"/>
        </w:rPr>
        <w:t xml:space="preserve">strategici </w:t>
      </w:r>
      <w:r w:rsidRPr="008E37FD">
        <w:rPr>
          <w:sz w:val="20"/>
        </w:rPr>
        <w:t>riportati nel Piano della Performance, con l’evidenziazione del Progetto di sperimentazione della gestione unificata del NOCSAE (DGR 1004/2016) da parte dell’AOU, avviato dal 1/1/2017 e descritto in maggiore dettaglio nel Capitolo 5.1</w:t>
      </w:r>
      <w:r w:rsidR="008E37FD" w:rsidRPr="008E37FD">
        <w:rPr>
          <w:sz w:val="20"/>
        </w:rPr>
        <w:t xml:space="preserve">. Altri obiettivi importanti del 2016 hanno riguardato il mantenimento dei risultati raggiunti in termini di controllo e riduzione dei tempi di attesa della specialistica ambulatoriale e la diagnostica (MAPS) e l’avvio del progetto per il controllo dei tempi di attesa dei ricoveri chirurgici programmati, la continuazione dell’impegno ad un ascolto attivo dei cittadini e all’implementazione di modalità di partecipazione attiva, anche attraverso i social media. </w:t>
      </w:r>
      <w:r w:rsidR="00F87AC0">
        <w:rPr>
          <w:sz w:val="20"/>
        </w:rPr>
        <w:t xml:space="preserve">A tutti questi risultati sono dedicate alcune pagine di descrizione nel testo della Relazione. </w:t>
      </w:r>
      <w:r w:rsidR="008E37FD" w:rsidRPr="008E37FD">
        <w:rPr>
          <w:sz w:val="20"/>
        </w:rPr>
        <w:t xml:space="preserve">Il capitolo continua con la descrizione commentata della nuova mission aziendale </w:t>
      </w:r>
      <w:r w:rsidR="00F87AC0">
        <w:rPr>
          <w:sz w:val="20"/>
        </w:rPr>
        <w:t xml:space="preserve">“generatori di salute per i cittadini”, che sottolinea l’impegno verso i cittadini mediante un approccio integrato tra produzione e committenza. Tra i risultati 2016 si è ricompreso anche il </w:t>
      </w:r>
      <w:r w:rsidR="008E37FD" w:rsidRPr="008E37FD">
        <w:rPr>
          <w:sz w:val="20"/>
        </w:rPr>
        <w:t>cambiamento del modello dello staff della Direzione Strategica aziendale, e una sintesi delle principali realizzazioni, anche fisiche, dell’anno, tra le quali le Case della Salute di Guiglia e Spilamberto, la nuova sede della Medicina dello Sport di Carpi e la Centrale</w:t>
      </w:r>
      <w:r w:rsidR="009F1816">
        <w:rPr>
          <w:sz w:val="20"/>
        </w:rPr>
        <w:t xml:space="preserve"> di produzione </w:t>
      </w:r>
      <w:r w:rsidR="008E37FD" w:rsidRPr="008E37FD">
        <w:rPr>
          <w:sz w:val="20"/>
        </w:rPr>
        <w:t>Antiblastici per l’intera Azienda a Carpi.</w:t>
      </w:r>
    </w:p>
    <w:p w14:paraId="69D636B6" w14:textId="333501D3" w:rsidR="00CC595F" w:rsidRDefault="00F87AC0" w:rsidP="008E37FD">
      <w:pPr>
        <w:jc w:val="both"/>
        <w:rPr>
          <w:sz w:val="20"/>
        </w:rPr>
      </w:pPr>
      <w:r>
        <w:rPr>
          <w:sz w:val="20"/>
        </w:rPr>
        <w:t>Il Capitolo dedicato all’area delle Politiche integrate della promozione e tutela della salute illustra i principali risultati ottenuti in merito ai progetti di promozione della salute sugli stili di vita salutari, rivolti in primis agli adolescenti anche in merito alle iniziative anti violenza; si ripo</w:t>
      </w:r>
      <w:r w:rsidR="00C175F2">
        <w:rPr>
          <w:sz w:val="20"/>
        </w:rPr>
        <w:t>rtano i dati sugli screening on</w:t>
      </w:r>
      <w:r>
        <w:rPr>
          <w:sz w:val="20"/>
        </w:rPr>
        <w:t>c</w:t>
      </w:r>
      <w:r w:rsidR="00C175F2">
        <w:rPr>
          <w:sz w:val="20"/>
        </w:rPr>
        <w:t>o</w:t>
      </w:r>
      <w:r>
        <w:rPr>
          <w:sz w:val="20"/>
        </w:rPr>
        <w:t xml:space="preserve">logici, misurati dalla RER, dai quali si </w:t>
      </w:r>
      <w:r w:rsidR="00C175F2">
        <w:rPr>
          <w:sz w:val="20"/>
        </w:rPr>
        <w:t>evince un buon posizionamento dell’Azienda in termini di estensione ed adesione agli inviti rispetto alle medie regionali per lo screening mammografico e della cervice e leggermente inferiore per quello del colon retto. La realizzazione del Piano Regionale della Prevenzione 2016-18 ha centrato l’obiettivo in 43 progetti su 44, il cui dettaglio è riportato nell’Allegato 2. Un crescente impegno è stato dedicato nel 2016 al tema delle vaccinazioni, sia pediatriche che anti</w:t>
      </w:r>
      <w:r w:rsidR="00284B11">
        <w:rPr>
          <w:sz w:val="20"/>
        </w:rPr>
        <w:t>n</w:t>
      </w:r>
      <w:r w:rsidR="00C175F2">
        <w:rPr>
          <w:sz w:val="20"/>
        </w:rPr>
        <w:t>fluenz</w:t>
      </w:r>
      <w:r w:rsidR="00CC595F">
        <w:rPr>
          <w:sz w:val="20"/>
        </w:rPr>
        <w:t>ali; in merito alle vaccinazioni pediatriche si riportano i risultati 2016, che sono mediamente superiori alla media regionale, anche se ovviamente oggetto di azioni di miglioramento.  Nell’area della Salute Mentale è proseguito l’impegno sulle attività territoriali e su quelle ospedaliere con il progetto di sperimentazione dell’attività SPDC per acuti con quella di riabilitazione intensiva RTI, nella stessa unità fisica a Carpi. E’ proseguito l’impegno, monitorato dalla RER, di iniziative specifiche per la popolazione carceraria. I rapporti con il territorio sono stati consolidati da numerose iniziative con il mondo delle associazioni di volontariato (con 54 convenzioni di collaborazione firmate nel 2016) che hanno rappresentato la volontà di collaborazione e cooperazione tra Azienda e comunità. Il capitolo si conclude con un sintetico bilancio dell’attività di autoassicurazione nella gestione dei sinistri che è stata avviata dal dicem</w:t>
      </w:r>
      <w:bookmarkStart w:id="7" w:name="_GoBack"/>
      <w:bookmarkEnd w:id="7"/>
      <w:r w:rsidR="00CC595F">
        <w:rPr>
          <w:sz w:val="20"/>
        </w:rPr>
        <w:t xml:space="preserve">bre 2015; alla fase di redazione delle procedure, definizione dei ruoli e avvio del lavoro del </w:t>
      </w:r>
      <w:r w:rsidR="00CC595F">
        <w:rPr>
          <w:sz w:val="20"/>
        </w:rPr>
        <w:lastRenderedPageBreak/>
        <w:t>Comitato Valutazione Sinistri è s</w:t>
      </w:r>
      <w:r w:rsidR="00F47D0D">
        <w:rPr>
          <w:sz w:val="20"/>
        </w:rPr>
        <w:t>eguita quel</w:t>
      </w:r>
      <w:r w:rsidR="00CC595F">
        <w:rPr>
          <w:sz w:val="20"/>
        </w:rPr>
        <w:t>l</w:t>
      </w:r>
      <w:r w:rsidR="00F47D0D">
        <w:rPr>
          <w:sz w:val="20"/>
        </w:rPr>
        <w:t>a dell’operatività</w:t>
      </w:r>
      <w:r w:rsidR="005818C3">
        <w:rPr>
          <w:sz w:val="20"/>
        </w:rPr>
        <w:t xml:space="preserve"> che sta procedendo con buoni risultati</w:t>
      </w:r>
      <w:r w:rsidR="00F47D0D">
        <w:rPr>
          <w:sz w:val="20"/>
        </w:rPr>
        <w:t>. S</w:t>
      </w:r>
      <w:r w:rsidR="00CC595F">
        <w:rPr>
          <w:sz w:val="20"/>
        </w:rPr>
        <w:t>ui 122 sinistri denunciati nel 2016</w:t>
      </w:r>
      <w:r w:rsidR="00F47D0D">
        <w:rPr>
          <w:sz w:val="20"/>
        </w:rPr>
        <w:t>, 18 casi sono stati già conclusi nello stesso anno.</w:t>
      </w:r>
    </w:p>
    <w:p w14:paraId="1A90A210" w14:textId="2A358BA7" w:rsidR="00F47D0D" w:rsidRDefault="00F47D0D" w:rsidP="008E37FD">
      <w:pPr>
        <w:jc w:val="both"/>
        <w:rPr>
          <w:sz w:val="20"/>
        </w:rPr>
      </w:pPr>
      <w:r>
        <w:rPr>
          <w:sz w:val="20"/>
        </w:rPr>
        <w:t xml:space="preserve">Il capitolo </w:t>
      </w:r>
      <w:r w:rsidRPr="00F47D0D">
        <w:rPr>
          <w:sz w:val="20"/>
        </w:rPr>
        <w:t>2</w:t>
      </w:r>
      <w:r w:rsidR="006F0952">
        <w:rPr>
          <w:sz w:val="20"/>
        </w:rPr>
        <w:t>,</w:t>
      </w:r>
      <w:r w:rsidRPr="00F47D0D">
        <w:rPr>
          <w:sz w:val="20"/>
        </w:rPr>
        <w:t xml:space="preserve"> </w:t>
      </w:r>
      <w:r w:rsidR="004078AA">
        <w:rPr>
          <w:sz w:val="20"/>
        </w:rPr>
        <w:t>P</w:t>
      </w:r>
      <w:r w:rsidRPr="00F47D0D">
        <w:rPr>
          <w:sz w:val="20"/>
        </w:rPr>
        <w:t>olitiche per la semplificazione e l’equità nell’accesso ai servizi</w:t>
      </w:r>
      <w:r w:rsidR="006F0952">
        <w:rPr>
          <w:sz w:val="20"/>
        </w:rPr>
        <w:t>,</w:t>
      </w:r>
      <w:r w:rsidR="005818C3">
        <w:rPr>
          <w:sz w:val="20"/>
        </w:rPr>
        <w:t xml:space="preserve"> </w:t>
      </w:r>
      <w:r w:rsidR="006F0952">
        <w:rPr>
          <w:sz w:val="20"/>
        </w:rPr>
        <w:t xml:space="preserve">riporta </w:t>
      </w:r>
      <w:r w:rsidR="005818C3">
        <w:rPr>
          <w:sz w:val="20"/>
        </w:rPr>
        <w:t xml:space="preserve">i risultati raggiunti e in particolare l’apertura delle due </w:t>
      </w:r>
      <w:proofErr w:type="spellStart"/>
      <w:r w:rsidR="005818C3">
        <w:rPr>
          <w:sz w:val="20"/>
        </w:rPr>
        <w:t>CdS</w:t>
      </w:r>
      <w:proofErr w:type="spellEnd"/>
      <w:r w:rsidR="005818C3">
        <w:rPr>
          <w:sz w:val="20"/>
        </w:rPr>
        <w:t xml:space="preserve"> a Guiglia e Spilamberto, portando il totale di quelle attive a 11, e l’impegno dell’Azienda nel consolidamento della funzione dei due </w:t>
      </w:r>
      <w:proofErr w:type="spellStart"/>
      <w:r w:rsidR="005818C3">
        <w:rPr>
          <w:sz w:val="20"/>
        </w:rPr>
        <w:t>OsCo</w:t>
      </w:r>
      <w:proofErr w:type="spellEnd"/>
      <w:r w:rsidR="005818C3">
        <w:rPr>
          <w:sz w:val="20"/>
        </w:rPr>
        <w:t xml:space="preserve"> attivi nel territorio. Sono stati avviati progetti di presa in carico dei pazienti cronici e di raccolta dell’esperienza del cittadino e dell’operatore nel percorso di accesso e di cura. Sono riportati i dati dei risultati di MAPS in merito al rispetto dei tempi per la prima visita di specialistica ambulatoriale e di diagnostica, risultati pienamente raggiunti nel 2016. Altra area di obiettivi rilevanti per l’Azienda è stata quella del controllo dei tempi di attesa per i ricoveri chirurgici programmati, su cui si sono avviate le prime azioni individuate dalla RER, sia in termini organizzativi con la nomina del relativo </w:t>
      </w:r>
      <w:r w:rsidR="00617B46">
        <w:rPr>
          <w:sz w:val="20"/>
        </w:rPr>
        <w:t>Responsabile Unico</w:t>
      </w:r>
      <w:r w:rsidR="005818C3">
        <w:rPr>
          <w:sz w:val="20"/>
        </w:rPr>
        <w:t xml:space="preserve"> Aziendale, che con la predisposizione di report per il controllo dei tempi di attesa retrospettivi e prospettici. </w:t>
      </w:r>
      <w:r w:rsidR="004078AA">
        <w:rPr>
          <w:sz w:val="20"/>
        </w:rPr>
        <w:t xml:space="preserve">Le iniziative avviate in merito all’Equità, sia sulla base di obiettivi regionali che aziendali, completano il capitolo. </w:t>
      </w:r>
    </w:p>
    <w:p w14:paraId="23C04246" w14:textId="7599DA2B" w:rsidR="004078AA" w:rsidRDefault="004078AA" w:rsidP="008E37FD">
      <w:pPr>
        <w:jc w:val="both"/>
        <w:rPr>
          <w:sz w:val="20"/>
        </w:rPr>
      </w:pPr>
      <w:r>
        <w:rPr>
          <w:sz w:val="20"/>
        </w:rPr>
        <w:t>Il capitolo 3 riporta alcuni indicatori relativi a</w:t>
      </w:r>
      <w:r w:rsidR="006F0952">
        <w:rPr>
          <w:sz w:val="20"/>
        </w:rPr>
        <w:t>i</w:t>
      </w:r>
      <w:r>
        <w:rPr>
          <w:sz w:val="20"/>
        </w:rPr>
        <w:t xml:space="preserve"> Percorsi Clinico</w:t>
      </w:r>
      <w:r w:rsidR="006F0952">
        <w:rPr>
          <w:sz w:val="20"/>
        </w:rPr>
        <w:t xml:space="preserve"> assistenziali Ca Mammella, Ca Colon, Percorso Nascita, Ictus, frattura del collo del femore nell’anziano, scompenso cardiaco, monitorati internamente all’Azienda attraverso un insieme di indicatori nelle diverse fasi del percorso. I risultati 2016 sono soddisfacenti, complessivamente nell’area verde del pieno raggiungimento, anche se evidenziano una lieve riduzione rispetto al livello sintetico raggiunto l’anno precedente. I dati sono riferiti all’intera provincia, quindi includono anche le prestazioni erogate dal NOS e dall’AUO Policlinico.</w:t>
      </w:r>
    </w:p>
    <w:p w14:paraId="5C74E49F" w14:textId="4D9E5828" w:rsidR="006F0952" w:rsidRDefault="006F0952" w:rsidP="008E37FD">
      <w:pPr>
        <w:jc w:val="both"/>
        <w:rPr>
          <w:sz w:val="20"/>
        </w:rPr>
      </w:pPr>
      <w:r>
        <w:rPr>
          <w:sz w:val="20"/>
        </w:rPr>
        <w:t>Riguardo le Politiche per la valorizzazione professionale, il capitolo 4 riporta alcuni indicatori della Formazione interna erogata in Azienda nel 2016, con l’indicazione di alcuni elementi di attenzione</w:t>
      </w:r>
      <w:r w:rsidR="00284B11">
        <w:rPr>
          <w:sz w:val="20"/>
        </w:rPr>
        <w:t>, nonché l</w:t>
      </w:r>
      <w:r>
        <w:rPr>
          <w:sz w:val="20"/>
        </w:rPr>
        <w:t xml:space="preserve">a creazione/consolidamento dei servizi unici AUSL -AOU, che sono </w:t>
      </w:r>
      <w:r w:rsidR="00284B11">
        <w:rPr>
          <w:sz w:val="20"/>
        </w:rPr>
        <w:t xml:space="preserve">stati creati </w:t>
      </w:r>
      <w:r>
        <w:rPr>
          <w:sz w:val="20"/>
        </w:rPr>
        <w:t>nel 2016, il Servizio Tecnico, l’Ingegneria Clinica, la Fisica Medica, gli Acquisti e Logistica (oltre al Dipartimento Farmaceutico e al Servizio Amministrazione del Personale, già unificati.</w:t>
      </w:r>
      <w:r w:rsidR="00E267B3">
        <w:rPr>
          <w:sz w:val="20"/>
        </w:rPr>
        <w:t xml:space="preserve"> Un risultato raggiunto è stato anche il cambiamento delle modalità di incentivazione del personale dirigente, nel calcolo dell’incentivo, dal 2016 collegato ai risultati complessivi dell’Azienda per i dirigenti con responsabilità di struttura</w:t>
      </w:r>
      <w:r w:rsidR="00284B11">
        <w:rPr>
          <w:sz w:val="20"/>
        </w:rPr>
        <w:t xml:space="preserve">, per </w:t>
      </w:r>
      <w:r w:rsidR="00E267B3">
        <w:rPr>
          <w:sz w:val="20"/>
        </w:rPr>
        <w:t>rendere concreto i</w:t>
      </w:r>
      <w:r w:rsidR="00284B11">
        <w:rPr>
          <w:sz w:val="20"/>
        </w:rPr>
        <w:t>l collegamento</w:t>
      </w:r>
      <w:r w:rsidR="00E267B3">
        <w:rPr>
          <w:sz w:val="20"/>
        </w:rPr>
        <w:t xml:space="preserve"> tra strutture e l’idea del lavoro integrato in team come elemento chiave per il raggiungimento dei risultati.</w:t>
      </w:r>
    </w:p>
    <w:p w14:paraId="5DA1FF9A" w14:textId="463B9C88" w:rsidR="00E638DE" w:rsidRDefault="00E267B3" w:rsidP="008E37FD">
      <w:pPr>
        <w:jc w:val="both"/>
        <w:rPr>
          <w:sz w:val="20"/>
        </w:rPr>
      </w:pPr>
      <w:r>
        <w:rPr>
          <w:sz w:val="20"/>
        </w:rPr>
        <w:t xml:space="preserve">Nel capitolo 5 </w:t>
      </w:r>
      <w:r w:rsidR="00E638DE">
        <w:rPr>
          <w:sz w:val="20"/>
        </w:rPr>
        <w:t xml:space="preserve">vengono </w:t>
      </w:r>
      <w:r>
        <w:rPr>
          <w:sz w:val="20"/>
        </w:rPr>
        <w:t>descritt</w:t>
      </w:r>
      <w:r w:rsidR="00E638DE">
        <w:rPr>
          <w:sz w:val="20"/>
        </w:rPr>
        <w:t xml:space="preserve">i gli </w:t>
      </w:r>
      <w:proofErr w:type="spellStart"/>
      <w:r w:rsidR="00E638DE">
        <w:rPr>
          <w:sz w:val="20"/>
        </w:rPr>
        <w:t>step</w:t>
      </w:r>
      <w:proofErr w:type="spellEnd"/>
      <w:r w:rsidR="00E638DE">
        <w:rPr>
          <w:sz w:val="20"/>
        </w:rPr>
        <w:t xml:space="preserve"> decisionali del</w:t>
      </w:r>
      <w:r>
        <w:rPr>
          <w:sz w:val="20"/>
        </w:rPr>
        <w:t xml:space="preserve"> Progetto di sperimentazione della Gestione Unica del NOCSAE </w:t>
      </w:r>
      <w:r w:rsidR="00E638DE">
        <w:rPr>
          <w:sz w:val="20"/>
        </w:rPr>
        <w:t>che hanno portato all’avvio della sperimentazione dal 1/1/2017, con l’assegnazione temporanea di circa 1250 persone all’AOU.</w:t>
      </w:r>
      <w:r w:rsidR="00691BB1">
        <w:rPr>
          <w:sz w:val="20"/>
        </w:rPr>
        <w:t xml:space="preserve"> Sono riportati i principali da</w:t>
      </w:r>
      <w:r w:rsidR="00E638DE">
        <w:rPr>
          <w:sz w:val="20"/>
        </w:rPr>
        <w:t xml:space="preserve">ti </w:t>
      </w:r>
      <w:r w:rsidR="00691BB1">
        <w:rPr>
          <w:sz w:val="20"/>
        </w:rPr>
        <w:t xml:space="preserve">e informazioni </w:t>
      </w:r>
      <w:r w:rsidR="00E638DE">
        <w:rPr>
          <w:sz w:val="20"/>
        </w:rPr>
        <w:t>che danno conto dell’accentramento della casistica ospedaliera</w:t>
      </w:r>
      <w:r w:rsidR="00691BB1">
        <w:rPr>
          <w:sz w:val="20"/>
        </w:rPr>
        <w:t xml:space="preserve"> in alcuni poli della rete provinciale</w:t>
      </w:r>
      <w:r w:rsidR="00E638DE">
        <w:rPr>
          <w:sz w:val="20"/>
        </w:rPr>
        <w:t xml:space="preserve">, </w:t>
      </w:r>
      <w:r w:rsidR="00691BB1">
        <w:rPr>
          <w:sz w:val="20"/>
        </w:rPr>
        <w:t xml:space="preserve">ormai </w:t>
      </w:r>
      <w:r w:rsidR="00E638DE">
        <w:rPr>
          <w:sz w:val="20"/>
        </w:rPr>
        <w:t xml:space="preserve">avanzata </w:t>
      </w:r>
      <w:r w:rsidR="00691BB1">
        <w:rPr>
          <w:sz w:val="20"/>
        </w:rPr>
        <w:t xml:space="preserve">per le </w:t>
      </w:r>
      <w:r w:rsidR="00E638DE">
        <w:rPr>
          <w:sz w:val="20"/>
        </w:rPr>
        <w:t xml:space="preserve">patologie oncologiche e </w:t>
      </w:r>
      <w:r w:rsidR="00691BB1">
        <w:rPr>
          <w:sz w:val="20"/>
        </w:rPr>
        <w:t xml:space="preserve">per le </w:t>
      </w:r>
      <w:r w:rsidR="00E638DE">
        <w:rPr>
          <w:sz w:val="20"/>
        </w:rPr>
        <w:t xml:space="preserve">prestazioni tempo-dipendenti, </w:t>
      </w:r>
      <w:r w:rsidR="00691BB1">
        <w:rPr>
          <w:sz w:val="20"/>
        </w:rPr>
        <w:t xml:space="preserve">come </w:t>
      </w:r>
      <w:r w:rsidR="00E638DE">
        <w:rPr>
          <w:sz w:val="20"/>
        </w:rPr>
        <w:t xml:space="preserve">IMA, Ictus e </w:t>
      </w:r>
      <w:r w:rsidR="00691BB1">
        <w:rPr>
          <w:sz w:val="20"/>
        </w:rPr>
        <w:t>politraumi</w:t>
      </w:r>
      <w:r w:rsidR="00E638DE">
        <w:rPr>
          <w:sz w:val="20"/>
        </w:rPr>
        <w:t xml:space="preserve">. </w:t>
      </w:r>
      <w:r w:rsidR="00691BB1">
        <w:rPr>
          <w:sz w:val="20"/>
        </w:rPr>
        <w:t>Il rispetto degli indicatori volumi/esiti, uniti all’effetto della gestione unica del NOCSAE e del Policlinico hanno orientato le scelte di riordino della rete ospedaliera, la cui progettazione è continuata nei primi mesi del 2017.</w:t>
      </w:r>
    </w:p>
    <w:p w14:paraId="50A46FC6" w14:textId="2AD79488" w:rsidR="00E267B3" w:rsidRDefault="00E638DE" w:rsidP="008E37FD">
      <w:pPr>
        <w:jc w:val="both"/>
        <w:rPr>
          <w:sz w:val="20"/>
        </w:rPr>
      </w:pPr>
      <w:r>
        <w:rPr>
          <w:sz w:val="20"/>
        </w:rPr>
        <w:t>Altro elemento di intervento nel 2016 è stata la revisione del processo di programmazione che ha affiancato, con il ciclo di budget per l’anno 2017, alla dimensione delle schede di budget “verticali” per Dipartimento anche una dimensione orizzontale, sui processi, con l’individuazione di 5 percorsi/processi e di specifici indicatori e obiettivi di programmazione: dolore lombare, percorso nascita, percorso chirurgico, frattura di femore, percorso diabete. A ciascun processo è stata dedicata una sessione di negoziazione specifica, alla presenza dei professionisti e operatori, in ottica multidisciplinare e multiprofessionale, che si è tenuta nel mese di dicembre 2016.</w:t>
      </w:r>
    </w:p>
    <w:p w14:paraId="285DFBA0" w14:textId="737930C6" w:rsidR="00691BB1" w:rsidRDefault="00691BB1" w:rsidP="008E37FD">
      <w:pPr>
        <w:jc w:val="both"/>
        <w:rPr>
          <w:sz w:val="20"/>
        </w:rPr>
      </w:pPr>
      <w:r>
        <w:rPr>
          <w:sz w:val="20"/>
        </w:rPr>
        <w:t>Il capitolo 6 riporta le valutazioni ottenute dall’Azienda secondo diversi strumenti di valutazione: SIVER della RER, il PNE da parte del Ministero e il Bersaglio, sempre dalla RER. Si tratta di insiemi diversi di indicatori, finalizzati comunque al monitoraggio trasversale delle performance dell’azienda</w:t>
      </w:r>
      <w:r w:rsidR="000E53FB">
        <w:rPr>
          <w:sz w:val="20"/>
        </w:rPr>
        <w:t>: il sistema SIVER a tutto tondo, inclusivo</w:t>
      </w:r>
      <w:r>
        <w:rPr>
          <w:sz w:val="20"/>
        </w:rPr>
        <w:t xml:space="preserve"> della dimensione clinica, organizzativa, di accesso, di esito</w:t>
      </w:r>
      <w:r w:rsidR="000E53FB">
        <w:rPr>
          <w:sz w:val="20"/>
        </w:rPr>
        <w:t>, il PNE focalizzato sull’esito, il Bersaglio molto sintetico e intuitivo.</w:t>
      </w:r>
    </w:p>
    <w:p w14:paraId="49B177F2" w14:textId="77777777" w:rsidR="00FF5274" w:rsidRDefault="00FF5274" w:rsidP="00FF5274">
      <w:pPr>
        <w:spacing w:after="120"/>
        <w:contextualSpacing/>
        <w:jc w:val="both"/>
        <w:rPr>
          <w:rFonts w:eastAsia="Calibri"/>
          <w:sz w:val="20"/>
          <w:lang w:eastAsia="en-US"/>
        </w:rPr>
      </w:pPr>
      <w:r>
        <w:rPr>
          <w:sz w:val="20"/>
        </w:rPr>
        <w:t xml:space="preserve">Per SIVER, </w:t>
      </w:r>
      <w:r>
        <w:rPr>
          <w:rFonts w:eastAsia="Calibri"/>
          <w:sz w:val="20"/>
          <w:lang w:eastAsia="en-US"/>
        </w:rPr>
        <w:t xml:space="preserve">il posizionamento dell’Azienda viene valutato secondo le dimensioni dell’Accesso e domanda, dell’Integrazione, degli Esiti (al momento ancora solo come indicatori osservazionali o non aggiustati, quindi non valutati) della Produzione (suddivisa tra Ospedale, Territorio e Prevenzione), Appropriatezza, Qualità, Sicurezza e Rischio Clinico, Organizzazione, Anticorruzione-Trasparenza e Sostenibilità Economico-Finanziaria, con un totale di 78 indicatori applicabili all’Azienda. </w:t>
      </w:r>
    </w:p>
    <w:p w14:paraId="385367F7" w14:textId="77777777" w:rsidR="00FF5274" w:rsidRDefault="00FF5274" w:rsidP="00FF5274">
      <w:pPr>
        <w:spacing w:after="120"/>
        <w:contextualSpacing/>
        <w:jc w:val="both"/>
        <w:rPr>
          <w:rFonts w:eastAsia="Calibri"/>
          <w:sz w:val="20"/>
          <w:lang w:eastAsia="en-US"/>
        </w:rPr>
      </w:pPr>
      <w:r>
        <w:rPr>
          <w:rFonts w:eastAsia="Calibri"/>
          <w:sz w:val="20"/>
          <w:lang w:eastAsia="en-US"/>
        </w:rPr>
        <w:t xml:space="preserve">Di questi, 40 sono osservazionali o ancora con dati non aggiustati e quindi non ne viene data una valutazione. </w:t>
      </w:r>
    </w:p>
    <w:p w14:paraId="4EA8E6FF" w14:textId="77777777" w:rsidR="00284B11" w:rsidRDefault="00284B11" w:rsidP="00FF5274">
      <w:pPr>
        <w:spacing w:after="120"/>
        <w:contextualSpacing/>
        <w:jc w:val="both"/>
        <w:rPr>
          <w:rFonts w:eastAsia="Calibri"/>
          <w:sz w:val="20"/>
          <w:lang w:eastAsia="en-US"/>
        </w:rPr>
      </w:pPr>
    </w:p>
    <w:p w14:paraId="40B2B721" w14:textId="77777777" w:rsidR="00284B11" w:rsidRDefault="00284B11" w:rsidP="00FF5274">
      <w:pPr>
        <w:spacing w:after="120"/>
        <w:contextualSpacing/>
        <w:jc w:val="both"/>
        <w:rPr>
          <w:rFonts w:eastAsia="Calibri"/>
          <w:sz w:val="20"/>
          <w:lang w:eastAsia="en-US"/>
        </w:rPr>
      </w:pPr>
    </w:p>
    <w:p w14:paraId="06A0B138" w14:textId="77777777" w:rsidR="00FF5274" w:rsidRDefault="00FF5274" w:rsidP="00FF5274">
      <w:pPr>
        <w:spacing w:after="120"/>
        <w:contextualSpacing/>
        <w:jc w:val="both"/>
        <w:rPr>
          <w:rFonts w:eastAsia="Calibri"/>
          <w:sz w:val="20"/>
          <w:lang w:eastAsia="en-US"/>
        </w:rPr>
      </w:pPr>
      <w:r>
        <w:rPr>
          <w:rFonts w:eastAsia="Calibri"/>
          <w:sz w:val="20"/>
          <w:lang w:eastAsia="en-US"/>
        </w:rPr>
        <w:t>La valutazione sintetica ottenuta dall’Azienda sui rimanenti 38 indicatori è molto positiva e in sintesi è la seguente:</w:t>
      </w:r>
    </w:p>
    <w:p w14:paraId="384524FC" w14:textId="77777777" w:rsidR="00FF5274" w:rsidRDefault="00FF5274" w:rsidP="001C5068">
      <w:pPr>
        <w:spacing w:after="120"/>
        <w:contextualSpacing/>
        <w:jc w:val="both"/>
        <w:rPr>
          <w:rFonts w:eastAsia="Calibri"/>
          <w:sz w:val="20"/>
          <w:lang w:eastAsia="en-US"/>
        </w:rPr>
      </w:pPr>
    </w:p>
    <w:p w14:paraId="6393CDA5" w14:textId="77777777" w:rsidR="00FF5274" w:rsidRDefault="00FF5274" w:rsidP="001C5068">
      <w:pPr>
        <w:spacing w:after="120"/>
        <w:contextualSpacing/>
        <w:jc w:val="both"/>
        <w:rPr>
          <w:rFonts w:eastAsia="Calibri"/>
          <w:sz w:val="20"/>
          <w:lang w:eastAsia="en-US"/>
        </w:rPr>
      </w:pPr>
    </w:p>
    <w:p w14:paraId="25C3AD9E" w14:textId="23D73995" w:rsidR="00560E5F" w:rsidRDefault="00560E5F" w:rsidP="00782901">
      <w:pPr>
        <w:spacing w:after="120"/>
        <w:contextualSpacing/>
        <w:jc w:val="center"/>
        <w:rPr>
          <w:rFonts w:eastAsia="Calibri"/>
          <w:sz w:val="20"/>
          <w:lang w:eastAsia="en-US"/>
        </w:rPr>
      </w:pPr>
      <w:r>
        <w:rPr>
          <w:noProof/>
          <w:lang w:eastAsia="it-IT" w:bidi="ar-SA"/>
        </w:rPr>
        <w:drawing>
          <wp:inline distT="0" distB="0" distL="0" distR="0" wp14:anchorId="12C8DD6D" wp14:editId="33CD3DAF">
            <wp:extent cx="4572000" cy="2743200"/>
            <wp:effectExtent l="0" t="0" r="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53DBAB" w14:textId="541F0F54" w:rsidR="001C5068" w:rsidRDefault="001C5068" w:rsidP="001C5068">
      <w:pPr>
        <w:spacing w:after="120"/>
        <w:contextualSpacing/>
        <w:jc w:val="both"/>
        <w:rPr>
          <w:rFonts w:eastAsia="Calibri"/>
          <w:sz w:val="20"/>
          <w:lang w:eastAsia="en-US"/>
        </w:rPr>
      </w:pPr>
    </w:p>
    <w:p w14:paraId="67A92BA6" w14:textId="013C2034" w:rsidR="00FF5274" w:rsidRDefault="00FF5274" w:rsidP="00FF5274">
      <w:pPr>
        <w:spacing w:before="0"/>
        <w:jc w:val="both"/>
        <w:rPr>
          <w:rFonts w:eastAsia="Calibri"/>
          <w:sz w:val="20"/>
          <w:lang w:eastAsia="en-US"/>
        </w:rPr>
      </w:pPr>
      <w:r>
        <w:rPr>
          <w:rFonts w:eastAsia="Calibri"/>
          <w:sz w:val="20"/>
          <w:lang w:eastAsia="en-US"/>
        </w:rPr>
        <w:t>Nel seguito del capitolo si riportano nel dettaglio gli indicatori ottenuti per ciascuna area di valutazione con i commenti per quelli non soddisfacenti. Si riportano anche le valutazioni da PNE relativamente ai singoli stabilimenti ospedalieri dell’Azienda: anche questi valori illustrano una buona aderenza agli standard nazionali di qualità. La sintesi di valutazione operata dal sistema Bersaglio</w:t>
      </w:r>
      <w:r w:rsidR="00CE1803">
        <w:rPr>
          <w:rFonts w:eastAsia="Calibri"/>
          <w:sz w:val="20"/>
          <w:lang w:eastAsia="en-US"/>
        </w:rPr>
        <w:t>,</w:t>
      </w:r>
      <w:r>
        <w:rPr>
          <w:rFonts w:eastAsia="Calibri"/>
          <w:sz w:val="20"/>
          <w:lang w:eastAsia="en-US"/>
        </w:rPr>
        <w:t xml:space="preserve"> </w:t>
      </w:r>
      <w:r w:rsidR="00CE1803">
        <w:rPr>
          <w:rFonts w:eastAsia="Calibri"/>
          <w:sz w:val="20"/>
          <w:lang w:eastAsia="en-US"/>
        </w:rPr>
        <w:t xml:space="preserve">riportata a conclusione del capitolo, </w:t>
      </w:r>
      <w:r>
        <w:rPr>
          <w:rFonts w:eastAsia="Calibri"/>
          <w:sz w:val="20"/>
          <w:lang w:eastAsia="en-US"/>
        </w:rPr>
        <w:t>utilizza un ulteriore set di indicatori condivisi tra più Regioni e descrive un posizionamento molto soddisfacente</w:t>
      </w:r>
      <w:r w:rsidR="00CE1803">
        <w:rPr>
          <w:rFonts w:eastAsia="Calibri"/>
          <w:sz w:val="20"/>
          <w:lang w:eastAsia="en-US"/>
        </w:rPr>
        <w:t xml:space="preserve"> </w:t>
      </w:r>
      <w:r>
        <w:rPr>
          <w:rFonts w:eastAsia="Calibri"/>
          <w:sz w:val="20"/>
          <w:lang w:eastAsia="en-US"/>
        </w:rPr>
        <w:t xml:space="preserve">su quasi tutti gli indicatori scelti, con un livello </w:t>
      </w:r>
      <w:r w:rsidR="00CE1803">
        <w:rPr>
          <w:rFonts w:eastAsia="Calibri"/>
          <w:sz w:val="20"/>
          <w:lang w:eastAsia="en-US"/>
        </w:rPr>
        <w:t>da migliorare</w:t>
      </w:r>
      <w:r>
        <w:rPr>
          <w:rFonts w:eastAsia="Calibri"/>
          <w:sz w:val="20"/>
          <w:lang w:eastAsia="en-US"/>
        </w:rPr>
        <w:t xml:space="preserve">, </w:t>
      </w:r>
      <w:r w:rsidR="00CE1803">
        <w:rPr>
          <w:rFonts w:eastAsia="Calibri"/>
          <w:sz w:val="20"/>
          <w:lang w:eastAsia="en-US"/>
        </w:rPr>
        <w:t xml:space="preserve">invece, per </w:t>
      </w:r>
      <w:r>
        <w:rPr>
          <w:rFonts w:eastAsia="Calibri"/>
          <w:sz w:val="20"/>
          <w:lang w:eastAsia="en-US"/>
        </w:rPr>
        <w:t xml:space="preserve">i tempi di attesa della chirurgia oncologica, il cui valore medio è negativo a causa dell’attesa media per interventi chirurgici </w:t>
      </w:r>
      <w:r w:rsidR="00CE1803">
        <w:rPr>
          <w:rFonts w:eastAsia="Calibri"/>
          <w:sz w:val="20"/>
          <w:lang w:eastAsia="en-US"/>
        </w:rPr>
        <w:t xml:space="preserve">sulla </w:t>
      </w:r>
      <w:r>
        <w:rPr>
          <w:rFonts w:eastAsia="Calibri"/>
          <w:sz w:val="20"/>
          <w:lang w:eastAsia="en-US"/>
        </w:rPr>
        <w:t>prostata, ad alta frequenza</w:t>
      </w:r>
      <w:r w:rsidR="00CE1803">
        <w:rPr>
          <w:rFonts w:eastAsia="Calibri"/>
          <w:sz w:val="20"/>
          <w:lang w:eastAsia="en-US"/>
        </w:rPr>
        <w:t xml:space="preserve">, </w:t>
      </w:r>
      <w:r>
        <w:rPr>
          <w:rFonts w:eastAsia="Calibri"/>
          <w:sz w:val="20"/>
          <w:lang w:eastAsia="en-US"/>
        </w:rPr>
        <w:t>la percentuale di abbandoni da PS</w:t>
      </w:r>
      <w:r w:rsidR="00CE1803">
        <w:rPr>
          <w:rFonts w:eastAsia="Calibri"/>
          <w:sz w:val="20"/>
          <w:lang w:eastAsia="en-US"/>
        </w:rPr>
        <w:t>,</w:t>
      </w:r>
      <w:r>
        <w:rPr>
          <w:rFonts w:eastAsia="Calibri"/>
          <w:sz w:val="20"/>
          <w:lang w:eastAsia="en-US"/>
        </w:rPr>
        <w:t xml:space="preserve"> la copertura vaccinale e l’appropriatezza chirurgica.</w:t>
      </w:r>
    </w:p>
    <w:p w14:paraId="26132F64" w14:textId="37EB7425" w:rsidR="005C5A8C" w:rsidRDefault="005C5A8C" w:rsidP="005C5A8C">
      <w:pPr>
        <w:spacing w:after="120"/>
        <w:contextualSpacing/>
        <w:jc w:val="both"/>
        <w:rPr>
          <w:rFonts w:eastAsia="Calibri"/>
          <w:sz w:val="20"/>
          <w:lang w:eastAsia="en-US"/>
        </w:rPr>
      </w:pPr>
      <w:r>
        <w:rPr>
          <w:rFonts w:eastAsia="Calibri"/>
          <w:sz w:val="20"/>
          <w:lang w:eastAsia="en-US"/>
        </w:rPr>
        <w:t>Il capitolo 7 “La sostenibilità economico-finanziaria” illustra la progressiva riduzione delle risorse economiche disponibili (riduzione della quota capitaria e del fondo di riequilibrio) negli ultimi 3 anni ma anche il rispetto dell’obiettivo del pareggio di bilancio, ottenuto con una forte attenzione alla spesa. I costi pro capite (con l’integrazione per AO/AOU/IRCSS) indicano la conferma del posizionamento dell’Azienda al di sotto della media RER e anche un incremento della differenza arrivata a raddoppiare nel 2015, ultimo anno disponibile (-0.22% Anno 2013; -0.38% Anno 2014; -0.70% Anno 2015).</w:t>
      </w:r>
    </w:p>
    <w:p w14:paraId="778DCA06" w14:textId="7BF291BB" w:rsidR="000E53FB" w:rsidRDefault="000E53FB" w:rsidP="00FF5274">
      <w:pPr>
        <w:spacing w:after="120"/>
        <w:contextualSpacing/>
        <w:jc w:val="both"/>
        <w:rPr>
          <w:rFonts w:eastAsia="Calibri"/>
          <w:sz w:val="20"/>
          <w:lang w:eastAsia="en-US"/>
        </w:rPr>
      </w:pPr>
    </w:p>
    <w:p w14:paraId="0B510E33" w14:textId="22B9407B" w:rsidR="000E53FB" w:rsidRPr="008E37FD" w:rsidRDefault="00327560" w:rsidP="008E37FD">
      <w:pPr>
        <w:jc w:val="both"/>
        <w:rPr>
          <w:sz w:val="20"/>
        </w:rPr>
      </w:pPr>
      <w:r>
        <w:rPr>
          <w:sz w:val="20"/>
        </w:rPr>
        <w:t>La Relazione si conclude con il rimando alla documentazione in allegato, la relazione del DG al Bilancio 2016, contenente il dettaglio del raggiungimento degli obiettivi di programmazione regionale 2016 (DGR 1003/2016) e con la valutazione del Piano Regionale della Prevenzione 2016-18, per l’anno 2016, effettuata recentemente dalla RER.</w:t>
      </w:r>
    </w:p>
    <w:p w14:paraId="728055A9" w14:textId="77777777" w:rsidR="00E27519" w:rsidRDefault="0003178C">
      <w:pPr>
        <w:suppressAutoHyphens w:val="0"/>
        <w:spacing w:before="0"/>
        <w:rPr>
          <w:rFonts w:ascii="Cambria" w:hAnsi="Cambria" w:cs="Cambria"/>
          <w:b/>
          <w:smallCaps/>
          <w:sz w:val="28"/>
        </w:rPr>
      </w:pPr>
      <w:r>
        <w:rPr>
          <w:sz w:val="28"/>
        </w:rPr>
        <w:br w:type="page"/>
      </w:r>
    </w:p>
    <w:p w14:paraId="40632B9B" w14:textId="63E16304" w:rsidR="00E27519" w:rsidRDefault="00DD4B5B">
      <w:pPr>
        <w:pStyle w:val="Titolo1"/>
        <w:numPr>
          <w:ilvl w:val="0"/>
          <w:numId w:val="0"/>
        </w:numPr>
        <w:jc w:val="left"/>
        <w:rPr>
          <w:sz w:val="28"/>
        </w:rPr>
      </w:pPr>
      <w:bookmarkStart w:id="8" w:name="_Toc486415621"/>
      <w:r>
        <w:rPr>
          <w:sz w:val="28"/>
        </w:rPr>
        <w:lastRenderedPageBreak/>
        <w:t>Le aree strategiche di intervento del piano della performance</w:t>
      </w:r>
      <w:bookmarkEnd w:id="8"/>
      <w:r>
        <w:rPr>
          <w:sz w:val="28"/>
        </w:rPr>
        <w:t xml:space="preserve"> </w:t>
      </w:r>
    </w:p>
    <w:p w14:paraId="378CB2D9" w14:textId="77777777" w:rsidR="00E27519" w:rsidRDefault="0003178C">
      <w:pPr>
        <w:jc w:val="both"/>
        <w:rPr>
          <w:sz w:val="20"/>
        </w:rPr>
      </w:pPr>
      <w:r>
        <w:rPr>
          <w:sz w:val="20"/>
        </w:rPr>
        <w:t>Nel Piano della Performance 2015-2017 sono state definite dalla Direzione aziendale le aree strategiche prioritarie di intervento, attraverso le quali l’Azienda USL di Modena ha inteso orientare la propria azione e migliorare le proprie performance, in linea con la mission aziendale.</w:t>
      </w:r>
    </w:p>
    <w:p w14:paraId="2BB60AFF" w14:textId="77777777" w:rsidR="00E27519" w:rsidRDefault="0003178C">
      <w:pPr>
        <w:jc w:val="both"/>
        <w:rPr>
          <w:sz w:val="20"/>
        </w:rPr>
      </w:pPr>
      <w:r>
        <w:rPr>
          <w:sz w:val="20"/>
        </w:rPr>
        <w:t xml:space="preserve"> </w:t>
      </w:r>
    </w:p>
    <w:tbl>
      <w:tblPr>
        <w:tblW w:w="10740" w:type="dxa"/>
        <w:jc w:val="center"/>
        <w:tblLayout w:type="fixed"/>
        <w:tblCellMar>
          <w:left w:w="70" w:type="dxa"/>
          <w:right w:w="70" w:type="dxa"/>
        </w:tblCellMar>
        <w:tblLook w:val="04A0" w:firstRow="1" w:lastRow="0" w:firstColumn="1" w:lastColumn="0" w:noHBand="0" w:noVBand="1"/>
      </w:tblPr>
      <w:tblGrid>
        <w:gridCol w:w="366"/>
        <w:gridCol w:w="1188"/>
        <w:gridCol w:w="1498"/>
        <w:gridCol w:w="1051"/>
        <w:gridCol w:w="1271"/>
        <w:gridCol w:w="1005"/>
        <w:gridCol w:w="1168"/>
        <w:gridCol w:w="1114"/>
        <w:gridCol w:w="1052"/>
        <w:gridCol w:w="1027"/>
      </w:tblGrid>
      <w:tr w:rsidR="00E27519" w14:paraId="6668C28F" w14:textId="77777777">
        <w:trPr>
          <w:trHeight w:val="315"/>
          <w:jc w:val="center"/>
        </w:trPr>
        <w:tc>
          <w:tcPr>
            <w:tcW w:w="366" w:type="dxa"/>
            <w:tcBorders>
              <w:top w:val="single" w:sz="8" w:space="0" w:color="auto"/>
              <w:left w:val="single" w:sz="8" w:space="0" w:color="auto"/>
              <w:bottom w:val="single" w:sz="8" w:space="0" w:color="auto"/>
              <w:right w:val="single" w:sz="8" w:space="0" w:color="auto"/>
            </w:tcBorders>
            <w:shd w:val="thinReverseDiagStripe" w:color="000000" w:fill="DDDDDD"/>
            <w:vAlign w:val="center"/>
          </w:tcPr>
          <w:p w14:paraId="01D09C2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2686" w:type="dxa"/>
            <w:gridSpan w:val="2"/>
            <w:tcBorders>
              <w:top w:val="single" w:sz="8" w:space="0" w:color="auto"/>
              <w:left w:val="nil"/>
              <w:bottom w:val="single" w:sz="8" w:space="0" w:color="auto"/>
              <w:right w:val="single" w:sz="8" w:space="0" w:color="000000"/>
            </w:tcBorders>
            <w:shd w:val="clear" w:color="auto" w:fill="auto"/>
            <w:vAlign w:val="bottom"/>
          </w:tcPr>
          <w:p w14:paraId="3B032A88" w14:textId="77777777" w:rsidR="00E27519" w:rsidRDefault="0003178C">
            <w:pPr>
              <w:suppressAutoHyphens w:val="0"/>
              <w:spacing w:before="0"/>
              <w:jc w:val="center"/>
              <w:rPr>
                <w:rFonts w:cs="Times New Roman"/>
                <w:b/>
                <w:bCs/>
                <w:color w:val="000000"/>
                <w:sz w:val="18"/>
                <w:szCs w:val="18"/>
                <w:lang w:eastAsia="it-IT" w:bidi="ar-SA"/>
              </w:rPr>
            </w:pPr>
            <w:r>
              <w:rPr>
                <w:rFonts w:cs="Times New Roman"/>
                <w:b/>
                <w:bCs/>
                <w:color w:val="000000"/>
                <w:sz w:val="18"/>
                <w:szCs w:val="18"/>
                <w:lang w:eastAsia="it-IT" w:bidi="ar-SA"/>
              </w:rPr>
              <w:t>Delibera 3/2016 OIV</w:t>
            </w:r>
          </w:p>
        </w:tc>
        <w:tc>
          <w:tcPr>
            <w:tcW w:w="7688" w:type="dxa"/>
            <w:gridSpan w:val="7"/>
            <w:tcBorders>
              <w:top w:val="single" w:sz="8" w:space="0" w:color="auto"/>
              <w:left w:val="nil"/>
              <w:bottom w:val="single" w:sz="8" w:space="0" w:color="auto"/>
              <w:right w:val="single" w:sz="8" w:space="0" w:color="000000"/>
            </w:tcBorders>
            <w:shd w:val="pct10" w:color="4F81BD" w:fill="F8F9FB"/>
            <w:vAlign w:val="center"/>
          </w:tcPr>
          <w:p w14:paraId="03837D40" w14:textId="77777777"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Dimensioni della Performance: PP 2015-2017</w:t>
            </w:r>
          </w:p>
        </w:tc>
      </w:tr>
      <w:tr w:rsidR="00E27519" w14:paraId="740B376B" w14:textId="77777777">
        <w:trPr>
          <w:trHeight w:val="992"/>
          <w:jc w:val="center"/>
        </w:trPr>
        <w:tc>
          <w:tcPr>
            <w:tcW w:w="366" w:type="dxa"/>
            <w:vMerge w:val="restart"/>
            <w:tcBorders>
              <w:top w:val="nil"/>
              <w:left w:val="single" w:sz="8" w:space="0" w:color="auto"/>
              <w:bottom w:val="single" w:sz="8" w:space="0" w:color="000000"/>
              <w:right w:val="single" w:sz="8" w:space="0" w:color="auto"/>
            </w:tcBorders>
            <w:shd w:val="pct10" w:color="4F81BD" w:fill="F8F9FB"/>
            <w:textDirection w:val="btLr"/>
            <w:vAlign w:val="center"/>
          </w:tcPr>
          <w:p w14:paraId="5BFCDEA2" w14:textId="77777777" w:rsidR="00E27519" w:rsidRDefault="0003178C">
            <w:pPr>
              <w:suppressAutoHyphens w:val="0"/>
              <w:spacing w:before="0"/>
              <w:jc w:val="center"/>
              <w:rPr>
                <w:rFonts w:cs="Times New Roman"/>
                <w:b/>
                <w:bCs/>
                <w:color w:val="000000"/>
                <w:sz w:val="18"/>
                <w:szCs w:val="22"/>
                <w:lang w:eastAsia="it-IT" w:bidi="ar-SA"/>
              </w:rPr>
            </w:pPr>
            <w:r>
              <w:rPr>
                <w:rFonts w:cs="Times New Roman"/>
                <w:b/>
                <w:bCs/>
                <w:color w:val="000000"/>
                <w:sz w:val="18"/>
                <w:szCs w:val="22"/>
                <w:lang w:eastAsia="it-IT" w:bidi="ar-SA"/>
              </w:rPr>
              <w:t>Albero della Performance secondo delibera 3/OIV</w:t>
            </w:r>
          </w:p>
        </w:tc>
        <w:tc>
          <w:tcPr>
            <w:tcW w:w="1188" w:type="dxa"/>
            <w:tcBorders>
              <w:top w:val="nil"/>
              <w:left w:val="nil"/>
              <w:bottom w:val="single" w:sz="8" w:space="0" w:color="auto"/>
              <w:right w:val="single" w:sz="8" w:space="0" w:color="auto"/>
            </w:tcBorders>
            <w:shd w:val="clear" w:color="auto" w:fill="auto"/>
            <w:vAlign w:val="center"/>
          </w:tcPr>
          <w:p w14:paraId="0EF5E244"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Dimensione di performance</w:t>
            </w:r>
          </w:p>
        </w:tc>
        <w:tc>
          <w:tcPr>
            <w:tcW w:w="1498" w:type="dxa"/>
            <w:tcBorders>
              <w:top w:val="nil"/>
              <w:left w:val="nil"/>
              <w:bottom w:val="single" w:sz="8" w:space="0" w:color="auto"/>
              <w:right w:val="single" w:sz="8" w:space="0" w:color="auto"/>
            </w:tcBorders>
            <w:shd w:val="clear" w:color="auto" w:fill="auto"/>
            <w:vAlign w:val="center"/>
          </w:tcPr>
          <w:p w14:paraId="09F61662"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Area di performance</w:t>
            </w:r>
          </w:p>
        </w:tc>
        <w:tc>
          <w:tcPr>
            <w:tcW w:w="1051" w:type="dxa"/>
            <w:tcBorders>
              <w:top w:val="nil"/>
              <w:left w:val="nil"/>
              <w:bottom w:val="single" w:sz="8" w:space="0" w:color="auto"/>
              <w:right w:val="single" w:sz="8" w:space="0" w:color="auto"/>
            </w:tcBorders>
            <w:shd w:val="clear" w:color="auto" w:fill="auto"/>
            <w:vAlign w:val="center"/>
          </w:tcPr>
          <w:p w14:paraId="40C5729C"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Politiche integrate della promozione e tutela della salute</w:t>
            </w:r>
          </w:p>
        </w:tc>
        <w:tc>
          <w:tcPr>
            <w:tcW w:w="1271" w:type="dxa"/>
            <w:tcBorders>
              <w:top w:val="nil"/>
              <w:left w:val="nil"/>
              <w:bottom w:val="single" w:sz="8" w:space="0" w:color="auto"/>
              <w:right w:val="single" w:sz="8" w:space="0" w:color="auto"/>
            </w:tcBorders>
            <w:shd w:val="clear" w:color="auto" w:fill="auto"/>
            <w:vAlign w:val="center"/>
          </w:tcPr>
          <w:p w14:paraId="71CAAFAC"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Politiche per la semplificazione e l’equità nell’accesso ai servizi</w:t>
            </w:r>
          </w:p>
        </w:tc>
        <w:tc>
          <w:tcPr>
            <w:tcW w:w="1005" w:type="dxa"/>
            <w:tcBorders>
              <w:top w:val="nil"/>
              <w:left w:val="nil"/>
              <w:bottom w:val="single" w:sz="8" w:space="0" w:color="auto"/>
              <w:right w:val="single" w:sz="8" w:space="0" w:color="auto"/>
            </w:tcBorders>
            <w:shd w:val="clear" w:color="auto" w:fill="auto"/>
            <w:vAlign w:val="center"/>
          </w:tcPr>
          <w:p w14:paraId="07C253FF"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Percorsi clinico assistenziali</w:t>
            </w:r>
          </w:p>
        </w:tc>
        <w:tc>
          <w:tcPr>
            <w:tcW w:w="1168" w:type="dxa"/>
            <w:tcBorders>
              <w:top w:val="nil"/>
              <w:left w:val="nil"/>
              <w:bottom w:val="single" w:sz="8" w:space="0" w:color="auto"/>
              <w:right w:val="single" w:sz="8" w:space="0" w:color="auto"/>
            </w:tcBorders>
            <w:shd w:val="clear" w:color="auto" w:fill="auto"/>
            <w:vAlign w:val="center"/>
          </w:tcPr>
          <w:p w14:paraId="451D1083"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Politiche per la valorizzazione professionale</w:t>
            </w:r>
          </w:p>
        </w:tc>
        <w:tc>
          <w:tcPr>
            <w:tcW w:w="1114" w:type="dxa"/>
            <w:tcBorders>
              <w:top w:val="nil"/>
              <w:left w:val="nil"/>
              <w:bottom w:val="single" w:sz="8" w:space="0" w:color="auto"/>
              <w:right w:val="single" w:sz="8" w:space="0" w:color="auto"/>
            </w:tcBorders>
            <w:shd w:val="clear" w:color="auto" w:fill="auto"/>
            <w:vAlign w:val="center"/>
          </w:tcPr>
          <w:p w14:paraId="070F583F"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Performance management</w:t>
            </w:r>
          </w:p>
        </w:tc>
        <w:tc>
          <w:tcPr>
            <w:tcW w:w="1052" w:type="dxa"/>
            <w:tcBorders>
              <w:top w:val="nil"/>
              <w:left w:val="nil"/>
              <w:bottom w:val="single" w:sz="8" w:space="0" w:color="auto"/>
              <w:right w:val="single" w:sz="8" w:space="0" w:color="auto"/>
            </w:tcBorders>
            <w:shd w:val="clear" w:color="auto" w:fill="auto"/>
            <w:vAlign w:val="center"/>
          </w:tcPr>
          <w:p w14:paraId="72B91684"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 xml:space="preserve">Politiche di controllo, </w:t>
            </w:r>
            <w:proofErr w:type="spellStart"/>
            <w:r>
              <w:rPr>
                <w:rFonts w:cs="Times New Roman"/>
                <w:color w:val="000000"/>
                <w:sz w:val="18"/>
                <w:szCs w:val="18"/>
                <w:lang w:eastAsia="it-IT" w:bidi="ar-SA"/>
              </w:rPr>
              <w:t>misuraz</w:t>
            </w:r>
            <w:proofErr w:type="spellEnd"/>
            <w:r>
              <w:rPr>
                <w:rFonts w:cs="Times New Roman"/>
                <w:color w:val="000000"/>
                <w:sz w:val="18"/>
                <w:szCs w:val="18"/>
                <w:lang w:eastAsia="it-IT" w:bidi="ar-SA"/>
              </w:rPr>
              <w:t xml:space="preserve">., </w:t>
            </w:r>
            <w:proofErr w:type="spellStart"/>
            <w:r>
              <w:rPr>
                <w:rFonts w:cs="Times New Roman"/>
                <w:color w:val="000000"/>
                <w:sz w:val="18"/>
                <w:szCs w:val="18"/>
                <w:lang w:eastAsia="it-IT" w:bidi="ar-SA"/>
              </w:rPr>
              <w:t>valutaz</w:t>
            </w:r>
            <w:proofErr w:type="spellEnd"/>
            <w:r>
              <w:rPr>
                <w:rFonts w:cs="Times New Roman"/>
                <w:color w:val="000000"/>
                <w:sz w:val="18"/>
                <w:szCs w:val="18"/>
                <w:lang w:eastAsia="it-IT" w:bidi="ar-SA"/>
              </w:rPr>
              <w:t xml:space="preserve">. e </w:t>
            </w:r>
            <w:proofErr w:type="spellStart"/>
            <w:r>
              <w:rPr>
                <w:rFonts w:cs="Times New Roman"/>
                <w:color w:val="000000"/>
                <w:sz w:val="18"/>
                <w:szCs w:val="18"/>
                <w:lang w:eastAsia="it-IT" w:bidi="ar-SA"/>
              </w:rPr>
              <w:t>rendicontaz</w:t>
            </w:r>
            <w:proofErr w:type="spellEnd"/>
            <w:r>
              <w:rPr>
                <w:rFonts w:cs="Times New Roman"/>
                <w:color w:val="000000"/>
                <w:sz w:val="18"/>
                <w:szCs w:val="18"/>
                <w:lang w:eastAsia="it-IT" w:bidi="ar-SA"/>
              </w:rPr>
              <w:t xml:space="preserve">. </w:t>
            </w:r>
            <w:proofErr w:type="spellStart"/>
            <w:r>
              <w:rPr>
                <w:rFonts w:cs="Times New Roman"/>
                <w:color w:val="000000"/>
                <w:sz w:val="18"/>
                <w:szCs w:val="18"/>
                <w:lang w:eastAsia="it-IT" w:bidi="ar-SA"/>
              </w:rPr>
              <w:t>Int</w:t>
            </w:r>
            <w:proofErr w:type="spellEnd"/>
            <w:r>
              <w:rPr>
                <w:rFonts w:cs="Times New Roman"/>
                <w:color w:val="000000"/>
                <w:sz w:val="18"/>
                <w:szCs w:val="18"/>
                <w:lang w:eastAsia="it-IT" w:bidi="ar-SA"/>
              </w:rPr>
              <w:t>. ed est.</w:t>
            </w:r>
          </w:p>
        </w:tc>
        <w:tc>
          <w:tcPr>
            <w:tcW w:w="1027" w:type="dxa"/>
            <w:tcBorders>
              <w:top w:val="nil"/>
              <w:left w:val="nil"/>
              <w:bottom w:val="single" w:sz="8" w:space="0" w:color="auto"/>
              <w:right w:val="single" w:sz="8" w:space="0" w:color="auto"/>
            </w:tcBorders>
            <w:shd w:val="clear" w:color="auto" w:fill="auto"/>
            <w:vAlign w:val="center"/>
          </w:tcPr>
          <w:p w14:paraId="41A1B78B"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Politiche per la sostenibilità</w:t>
            </w:r>
          </w:p>
        </w:tc>
      </w:tr>
      <w:tr w:rsidR="00E27519" w14:paraId="31D7B1F9" w14:textId="77777777">
        <w:trPr>
          <w:trHeight w:val="217"/>
          <w:jc w:val="center"/>
        </w:trPr>
        <w:tc>
          <w:tcPr>
            <w:tcW w:w="366" w:type="dxa"/>
            <w:vMerge/>
            <w:tcBorders>
              <w:top w:val="nil"/>
              <w:left w:val="single" w:sz="8" w:space="0" w:color="auto"/>
              <w:bottom w:val="single" w:sz="8" w:space="0" w:color="000000"/>
              <w:right w:val="single" w:sz="8" w:space="0" w:color="auto"/>
            </w:tcBorders>
            <w:vAlign w:val="center"/>
          </w:tcPr>
          <w:p w14:paraId="6D5A0199" w14:textId="77777777" w:rsidR="00E27519" w:rsidRDefault="00E27519">
            <w:pPr>
              <w:suppressAutoHyphens w:val="0"/>
              <w:spacing w:before="0"/>
              <w:rPr>
                <w:rFonts w:cs="Times New Roman"/>
                <w:b/>
                <w:bCs/>
                <w:color w:val="000000"/>
                <w:szCs w:val="22"/>
                <w:lang w:eastAsia="it-IT" w:bidi="ar-SA"/>
              </w:rPr>
            </w:pPr>
          </w:p>
        </w:tc>
        <w:tc>
          <w:tcPr>
            <w:tcW w:w="1188" w:type="dxa"/>
            <w:vMerge w:val="restart"/>
            <w:tcBorders>
              <w:top w:val="nil"/>
              <w:left w:val="single" w:sz="8" w:space="0" w:color="auto"/>
              <w:bottom w:val="single" w:sz="8" w:space="0" w:color="000000"/>
              <w:right w:val="single" w:sz="8" w:space="0" w:color="auto"/>
            </w:tcBorders>
            <w:shd w:val="clear" w:color="auto" w:fill="auto"/>
            <w:vAlign w:val="center"/>
          </w:tcPr>
          <w:p w14:paraId="30FC42FE"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 xml:space="preserve"> per l'utente</w:t>
            </w:r>
          </w:p>
        </w:tc>
        <w:tc>
          <w:tcPr>
            <w:tcW w:w="1498" w:type="dxa"/>
            <w:tcBorders>
              <w:top w:val="nil"/>
              <w:left w:val="nil"/>
              <w:bottom w:val="single" w:sz="8" w:space="0" w:color="auto"/>
              <w:right w:val="single" w:sz="8" w:space="0" w:color="auto"/>
            </w:tcBorders>
            <w:shd w:val="clear" w:color="auto" w:fill="auto"/>
            <w:vAlign w:val="center"/>
          </w:tcPr>
          <w:p w14:paraId="58A2E037"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Accesso e domanda</w:t>
            </w:r>
          </w:p>
        </w:tc>
        <w:tc>
          <w:tcPr>
            <w:tcW w:w="1051" w:type="dxa"/>
            <w:tcBorders>
              <w:top w:val="nil"/>
              <w:left w:val="nil"/>
              <w:bottom w:val="single" w:sz="8" w:space="0" w:color="auto"/>
              <w:right w:val="single" w:sz="8" w:space="0" w:color="auto"/>
            </w:tcBorders>
            <w:shd w:val="thinHorzCross" w:color="95B3D7" w:fill="D7E1EE"/>
            <w:vAlign w:val="center"/>
          </w:tcPr>
          <w:p w14:paraId="7B8084EE"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271" w:type="dxa"/>
            <w:tcBorders>
              <w:top w:val="nil"/>
              <w:left w:val="nil"/>
              <w:bottom w:val="single" w:sz="8" w:space="0" w:color="auto"/>
              <w:right w:val="single" w:sz="8" w:space="0" w:color="auto"/>
            </w:tcBorders>
            <w:shd w:val="thinHorzCross" w:color="95B3D7" w:fill="D7E1EE"/>
            <w:vAlign w:val="center"/>
          </w:tcPr>
          <w:p w14:paraId="0C788E55"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05" w:type="dxa"/>
            <w:tcBorders>
              <w:top w:val="nil"/>
              <w:left w:val="nil"/>
              <w:bottom w:val="single" w:sz="8" w:space="0" w:color="auto"/>
              <w:right w:val="single" w:sz="8" w:space="0" w:color="auto"/>
            </w:tcBorders>
            <w:shd w:val="thinHorzCross" w:color="95B3D7" w:fill="D7E1EE"/>
            <w:vAlign w:val="center"/>
          </w:tcPr>
          <w:p w14:paraId="07F90DB4"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68" w:type="dxa"/>
            <w:tcBorders>
              <w:top w:val="nil"/>
              <w:left w:val="nil"/>
              <w:bottom w:val="single" w:sz="8" w:space="0" w:color="auto"/>
              <w:right w:val="single" w:sz="8" w:space="0" w:color="auto"/>
            </w:tcBorders>
            <w:shd w:val="clear" w:color="auto" w:fill="auto"/>
            <w:vAlign w:val="center"/>
          </w:tcPr>
          <w:p w14:paraId="788F560E"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clear" w:color="auto" w:fill="auto"/>
            <w:vAlign w:val="center"/>
          </w:tcPr>
          <w:p w14:paraId="2DE5429C"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52" w:type="dxa"/>
            <w:tcBorders>
              <w:top w:val="nil"/>
              <w:left w:val="nil"/>
              <w:bottom w:val="single" w:sz="8" w:space="0" w:color="auto"/>
              <w:right w:val="single" w:sz="8" w:space="0" w:color="auto"/>
            </w:tcBorders>
            <w:shd w:val="clear" w:color="auto" w:fill="auto"/>
            <w:vAlign w:val="center"/>
          </w:tcPr>
          <w:p w14:paraId="4F392753"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14:paraId="5EA66E06"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14:paraId="1FCDF3D5" w14:textId="77777777">
        <w:trPr>
          <w:trHeight w:val="181"/>
          <w:jc w:val="center"/>
        </w:trPr>
        <w:tc>
          <w:tcPr>
            <w:tcW w:w="366" w:type="dxa"/>
            <w:vMerge/>
            <w:tcBorders>
              <w:top w:val="nil"/>
              <w:left w:val="single" w:sz="8" w:space="0" w:color="auto"/>
              <w:bottom w:val="single" w:sz="8" w:space="0" w:color="000000"/>
              <w:right w:val="single" w:sz="8" w:space="0" w:color="auto"/>
            </w:tcBorders>
            <w:vAlign w:val="center"/>
          </w:tcPr>
          <w:p w14:paraId="3AD37679" w14:textId="77777777"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14:paraId="5D74D1B4" w14:textId="77777777"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14:paraId="659DC6BF"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Integrazione</w:t>
            </w:r>
          </w:p>
        </w:tc>
        <w:tc>
          <w:tcPr>
            <w:tcW w:w="1051" w:type="dxa"/>
            <w:tcBorders>
              <w:top w:val="nil"/>
              <w:left w:val="nil"/>
              <w:bottom w:val="single" w:sz="8" w:space="0" w:color="auto"/>
              <w:right w:val="single" w:sz="8" w:space="0" w:color="auto"/>
            </w:tcBorders>
            <w:shd w:val="clear" w:color="auto" w:fill="auto"/>
            <w:vAlign w:val="center"/>
          </w:tcPr>
          <w:p w14:paraId="70DE7DDA"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thinHorzCross" w:color="95B3D7" w:fill="D7E1EE"/>
            <w:vAlign w:val="center"/>
          </w:tcPr>
          <w:p w14:paraId="228F06B0"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05" w:type="dxa"/>
            <w:tcBorders>
              <w:top w:val="nil"/>
              <w:left w:val="nil"/>
              <w:bottom w:val="single" w:sz="8" w:space="0" w:color="auto"/>
              <w:right w:val="single" w:sz="8" w:space="0" w:color="auto"/>
            </w:tcBorders>
            <w:shd w:val="thinHorzCross" w:color="95B3D7" w:fill="D7E1EE"/>
            <w:vAlign w:val="center"/>
          </w:tcPr>
          <w:p w14:paraId="64005664"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68" w:type="dxa"/>
            <w:tcBorders>
              <w:top w:val="nil"/>
              <w:left w:val="nil"/>
              <w:bottom w:val="single" w:sz="8" w:space="0" w:color="auto"/>
              <w:right w:val="single" w:sz="8" w:space="0" w:color="auto"/>
            </w:tcBorders>
            <w:shd w:val="clear" w:color="auto" w:fill="auto"/>
            <w:vAlign w:val="center"/>
          </w:tcPr>
          <w:p w14:paraId="7BFF2CF7"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clear" w:color="auto" w:fill="auto"/>
            <w:vAlign w:val="center"/>
          </w:tcPr>
          <w:p w14:paraId="076CFC7D"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52" w:type="dxa"/>
            <w:tcBorders>
              <w:top w:val="nil"/>
              <w:left w:val="nil"/>
              <w:bottom w:val="single" w:sz="8" w:space="0" w:color="auto"/>
              <w:right w:val="single" w:sz="8" w:space="0" w:color="auto"/>
            </w:tcBorders>
            <w:shd w:val="clear" w:color="auto" w:fill="auto"/>
            <w:vAlign w:val="center"/>
          </w:tcPr>
          <w:p w14:paraId="7B1F0B84"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14:paraId="7109CB6C"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14:paraId="77923E76" w14:textId="77777777">
        <w:trPr>
          <w:trHeight w:val="55"/>
          <w:jc w:val="center"/>
        </w:trPr>
        <w:tc>
          <w:tcPr>
            <w:tcW w:w="366" w:type="dxa"/>
            <w:vMerge/>
            <w:tcBorders>
              <w:top w:val="nil"/>
              <w:left w:val="single" w:sz="8" w:space="0" w:color="auto"/>
              <w:bottom w:val="single" w:sz="8" w:space="0" w:color="000000"/>
              <w:right w:val="single" w:sz="8" w:space="0" w:color="auto"/>
            </w:tcBorders>
            <w:vAlign w:val="center"/>
          </w:tcPr>
          <w:p w14:paraId="3B100720" w14:textId="77777777"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14:paraId="70EE1ACF" w14:textId="77777777"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14:paraId="79875C46"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Esiti</w:t>
            </w:r>
          </w:p>
        </w:tc>
        <w:tc>
          <w:tcPr>
            <w:tcW w:w="1051" w:type="dxa"/>
            <w:tcBorders>
              <w:top w:val="nil"/>
              <w:left w:val="nil"/>
              <w:bottom w:val="single" w:sz="8" w:space="0" w:color="auto"/>
              <w:right w:val="single" w:sz="8" w:space="0" w:color="auto"/>
            </w:tcBorders>
            <w:shd w:val="clear" w:color="auto" w:fill="auto"/>
            <w:vAlign w:val="center"/>
          </w:tcPr>
          <w:p w14:paraId="58EBEAFB"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14:paraId="6DA27B45"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14:paraId="0D5FE8FA"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14:paraId="3379694E"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14:paraId="53C9AECD"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clear" w:color="auto" w:fill="auto"/>
            <w:vAlign w:val="center"/>
          </w:tcPr>
          <w:p w14:paraId="7B43C3AA"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14:paraId="71B63EC0"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14:paraId="0570A1FE" w14:textId="77777777">
        <w:trPr>
          <w:trHeight w:val="65"/>
          <w:jc w:val="center"/>
        </w:trPr>
        <w:tc>
          <w:tcPr>
            <w:tcW w:w="366" w:type="dxa"/>
            <w:vMerge/>
            <w:tcBorders>
              <w:top w:val="nil"/>
              <w:left w:val="single" w:sz="8" w:space="0" w:color="auto"/>
              <w:bottom w:val="single" w:sz="8" w:space="0" w:color="000000"/>
              <w:right w:val="single" w:sz="8" w:space="0" w:color="auto"/>
            </w:tcBorders>
            <w:vAlign w:val="center"/>
          </w:tcPr>
          <w:p w14:paraId="407338AB" w14:textId="77777777" w:rsidR="00E27519" w:rsidRDefault="00E27519">
            <w:pPr>
              <w:suppressAutoHyphens w:val="0"/>
              <w:spacing w:before="0"/>
              <w:rPr>
                <w:rFonts w:cs="Times New Roman"/>
                <w:b/>
                <w:bCs/>
                <w:color w:val="000000"/>
                <w:szCs w:val="22"/>
                <w:lang w:eastAsia="it-IT" w:bidi="ar-SA"/>
              </w:rPr>
            </w:pPr>
          </w:p>
        </w:tc>
        <w:tc>
          <w:tcPr>
            <w:tcW w:w="1188" w:type="dxa"/>
            <w:vMerge w:val="restart"/>
            <w:tcBorders>
              <w:top w:val="nil"/>
              <w:left w:val="single" w:sz="8" w:space="0" w:color="auto"/>
              <w:bottom w:val="single" w:sz="8" w:space="0" w:color="000000"/>
              <w:right w:val="single" w:sz="8" w:space="0" w:color="auto"/>
            </w:tcBorders>
            <w:shd w:val="clear" w:color="auto" w:fill="auto"/>
            <w:vAlign w:val="center"/>
          </w:tcPr>
          <w:p w14:paraId="1F51BF15"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dei processi interni</w:t>
            </w:r>
          </w:p>
        </w:tc>
        <w:tc>
          <w:tcPr>
            <w:tcW w:w="1498" w:type="dxa"/>
            <w:tcBorders>
              <w:top w:val="nil"/>
              <w:left w:val="nil"/>
              <w:bottom w:val="single" w:sz="8" w:space="0" w:color="auto"/>
              <w:right w:val="single" w:sz="8" w:space="0" w:color="auto"/>
            </w:tcBorders>
            <w:shd w:val="clear" w:color="auto" w:fill="auto"/>
            <w:vAlign w:val="center"/>
          </w:tcPr>
          <w:p w14:paraId="1E1C3CA2"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Produzione</w:t>
            </w:r>
          </w:p>
        </w:tc>
        <w:tc>
          <w:tcPr>
            <w:tcW w:w="1051" w:type="dxa"/>
            <w:tcBorders>
              <w:top w:val="nil"/>
              <w:left w:val="nil"/>
              <w:bottom w:val="single" w:sz="8" w:space="0" w:color="auto"/>
              <w:right w:val="single" w:sz="8" w:space="0" w:color="auto"/>
            </w:tcBorders>
            <w:shd w:val="thinHorzCross" w:color="95B3D7" w:fill="D7E1EE"/>
            <w:vAlign w:val="center"/>
          </w:tcPr>
          <w:p w14:paraId="3C4EC893"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271" w:type="dxa"/>
            <w:tcBorders>
              <w:top w:val="nil"/>
              <w:left w:val="nil"/>
              <w:bottom w:val="single" w:sz="8" w:space="0" w:color="auto"/>
              <w:right w:val="single" w:sz="8" w:space="0" w:color="auto"/>
            </w:tcBorders>
            <w:shd w:val="thinHorzCross" w:color="95B3D7" w:fill="D7E1EE"/>
            <w:vAlign w:val="center"/>
          </w:tcPr>
          <w:p w14:paraId="3571924F"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05" w:type="dxa"/>
            <w:tcBorders>
              <w:top w:val="nil"/>
              <w:left w:val="nil"/>
              <w:bottom w:val="single" w:sz="8" w:space="0" w:color="auto"/>
              <w:right w:val="single" w:sz="8" w:space="0" w:color="auto"/>
            </w:tcBorders>
            <w:shd w:val="clear" w:color="auto" w:fill="auto"/>
            <w:vAlign w:val="center"/>
          </w:tcPr>
          <w:p w14:paraId="6106B18C"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14:paraId="58D62153"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14:paraId="29C94259"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clear" w:color="auto" w:fill="auto"/>
            <w:vAlign w:val="center"/>
          </w:tcPr>
          <w:p w14:paraId="290317F7"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14:paraId="76BB2B14"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14:paraId="7521829E" w14:textId="77777777">
        <w:trPr>
          <w:trHeight w:val="171"/>
          <w:jc w:val="center"/>
        </w:trPr>
        <w:tc>
          <w:tcPr>
            <w:tcW w:w="366" w:type="dxa"/>
            <w:vMerge/>
            <w:tcBorders>
              <w:top w:val="nil"/>
              <w:left w:val="single" w:sz="8" w:space="0" w:color="auto"/>
              <w:bottom w:val="single" w:sz="8" w:space="0" w:color="000000"/>
              <w:right w:val="single" w:sz="8" w:space="0" w:color="auto"/>
            </w:tcBorders>
            <w:vAlign w:val="center"/>
          </w:tcPr>
          <w:p w14:paraId="4D034D56" w14:textId="77777777"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14:paraId="12BAC1B3" w14:textId="77777777"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14:paraId="21A5A142"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Appropriatezza, qualità, sicurezza e gestione del rischio clinico</w:t>
            </w:r>
          </w:p>
        </w:tc>
        <w:tc>
          <w:tcPr>
            <w:tcW w:w="1051" w:type="dxa"/>
            <w:tcBorders>
              <w:top w:val="nil"/>
              <w:left w:val="nil"/>
              <w:bottom w:val="single" w:sz="8" w:space="0" w:color="auto"/>
              <w:right w:val="single" w:sz="8" w:space="0" w:color="auto"/>
            </w:tcBorders>
            <w:shd w:val="clear" w:color="auto" w:fill="auto"/>
            <w:vAlign w:val="center"/>
          </w:tcPr>
          <w:p w14:paraId="6A28216A"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14:paraId="2096C171"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14:paraId="5287CF09"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14:paraId="3F1E74F2"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14:paraId="0E79383E"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thinHorzCross" w:color="95B3D7" w:fill="D7E1EE"/>
            <w:vAlign w:val="center"/>
          </w:tcPr>
          <w:p w14:paraId="5B6F4B35"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27" w:type="dxa"/>
            <w:tcBorders>
              <w:top w:val="nil"/>
              <w:left w:val="nil"/>
              <w:bottom w:val="single" w:sz="8" w:space="0" w:color="auto"/>
              <w:right w:val="single" w:sz="8" w:space="0" w:color="auto"/>
            </w:tcBorders>
            <w:shd w:val="clear" w:color="auto" w:fill="auto"/>
            <w:vAlign w:val="center"/>
          </w:tcPr>
          <w:p w14:paraId="57A5224B"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14:paraId="6FC25917" w14:textId="77777777">
        <w:trPr>
          <w:trHeight w:val="55"/>
          <w:jc w:val="center"/>
        </w:trPr>
        <w:tc>
          <w:tcPr>
            <w:tcW w:w="366" w:type="dxa"/>
            <w:vMerge/>
            <w:tcBorders>
              <w:top w:val="nil"/>
              <w:left w:val="single" w:sz="8" w:space="0" w:color="auto"/>
              <w:bottom w:val="single" w:sz="8" w:space="0" w:color="000000"/>
              <w:right w:val="single" w:sz="8" w:space="0" w:color="auto"/>
            </w:tcBorders>
            <w:vAlign w:val="center"/>
          </w:tcPr>
          <w:p w14:paraId="219CCC67" w14:textId="77777777"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14:paraId="175A5F91" w14:textId="77777777"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14:paraId="0110F07B"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Organizzazione</w:t>
            </w:r>
          </w:p>
        </w:tc>
        <w:tc>
          <w:tcPr>
            <w:tcW w:w="1051" w:type="dxa"/>
            <w:tcBorders>
              <w:top w:val="nil"/>
              <w:left w:val="nil"/>
              <w:bottom w:val="single" w:sz="8" w:space="0" w:color="auto"/>
              <w:right w:val="single" w:sz="8" w:space="0" w:color="auto"/>
            </w:tcBorders>
            <w:shd w:val="clear" w:color="auto" w:fill="auto"/>
            <w:vAlign w:val="center"/>
          </w:tcPr>
          <w:p w14:paraId="01E65802"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thinHorzCross" w:color="95B3D7" w:fill="D7E1EE"/>
            <w:vAlign w:val="center"/>
          </w:tcPr>
          <w:p w14:paraId="7CCAF67A"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05" w:type="dxa"/>
            <w:tcBorders>
              <w:top w:val="nil"/>
              <w:left w:val="nil"/>
              <w:bottom w:val="single" w:sz="8" w:space="0" w:color="auto"/>
              <w:right w:val="single" w:sz="8" w:space="0" w:color="auto"/>
            </w:tcBorders>
            <w:shd w:val="clear" w:color="auto" w:fill="auto"/>
            <w:vAlign w:val="center"/>
          </w:tcPr>
          <w:p w14:paraId="115EA30A"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thinHorzCross" w:color="95B3D7" w:fill="D7E1EE"/>
            <w:vAlign w:val="center"/>
          </w:tcPr>
          <w:p w14:paraId="76A17366"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14" w:type="dxa"/>
            <w:tcBorders>
              <w:top w:val="nil"/>
              <w:left w:val="nil"/>
              <w:bottom w:val="single" w:sz="8" w:space="0" w:color="auto"/>
              <w:right w:val="single" w:sz="8" w:space="0" w:color="auto"/>
            </w:tcBorders>
            <w:shd w:val="thinHorzCross" w:color="95B3D7" w:fill="D7E1EE"/>
            <w:vAlign w:val="center"/>
          </w:tcPr>
          <w:p w14:paraId="2AD4F5CF"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clear" w:color="auto" w:fill="auto"/>
            <w:vAlign w:val="center"/>
          </w:tcPr>
          <w:p w14:paraId="46E6D373"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14:paraId="204AC709"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14:paraId="18939713" w14:textId="77777777">
        <w:trPr>
          <w:trHeight w:val="55"/>
          <w:jc w:val="center"/>
        </w:trPr>
        <w:tc>
          <w:tcPr>
            <w:tcW w:w="366" w:type="dxa"/>
            <w:vMerge/>
            <w:tcBorders>
              <w:top w:val="nil"/>
              <w:left w:val="single" w:sz="8" w:space="0" w:color="auto"/>
              <w:bottom w:val="single" w:sz="8" w:space="0" w:color="000000"/>
              <w:right w:val="single" w:sz="8" w:space="0" w:color="auto"/>
            </w:tcBorders>
            <w:vAlign w:val="center"/>
          </w:tcPr>
          <w:p w14:paraId="0DE0C9BC" w14:textId="77777777"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14:paraId="03A7E6E0" w14:textId="77777777"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14:paraId="5B50CDFB"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Anticorruzione e trasparenza</w:t>
            </w:r>
          </w:p>
        </w:tc>
        <w:tc>
          <w:tcPr>
            <w:tcW w:w="1051" w:type="dxa"/>
            <w:tcBorders>
              <w:top w:val="nil"/>
              <w:left w:val="nil"/>
              <w:bottom w:val="single" w:sz="8" w:space="0" w:color="auto"/>
              <w:right w:val="single" w:sz="8" w:space="0" w:color="auto"/>
            </w:tcBorders>
            <w:shd w:val="clear" w:color="auto" w:fill="auto"/>
            <w:vAlign w:val="center"/>
          </w:tcPr>
          <w:p w14:paraId="45FAEF46"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14:paraId="46BA2925"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14:paraId="6EC94CAD"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thinHorzCross" w:color="95B3D7" w:fill="D7E1EE"/>
            <w:vAlign w:val="center"/>
          </w:tcPr>
          <w:p w14:paraId="3B8F79B1"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14" w:type="dxa"/>
            <w:tcBorders>
              <w:top w:val="nil"/>
              <w:left w:val="nil"/>
              <w:bottom w:val="single" w:sz="8" w:space="0" w:color="auto"/>
              <w:right w:val="single" w:sz="8" w:space="0" w:color="auto"/>
            </w:tcBorders>
            <w:shd w:val="thinHorzCross" w:color="95B3D7" w:fill="D7E1EE"/>
            <w:vAlign w:val="center"/>
          </w:tcPr>
          <w:p w14:paraId="0A3C440F"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clear" w:color="auto" w:fill="auto"/>
            <w:vAlign w:val="center"/>
          </w:tcPr>
          <w:p w14:paraId="450BB53C"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14:paraId="6D34AB11"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14:paraId="6F9D324B" w14:textId="77777777">
        <w:trPr>
          <w:trHeight w:val="55"/>
          <w:jc w:val="center"/>
        </w:trPr>
        <w:tc>
          <w:tcPr>
            <w:tcW w:w="366" w:type="dxa"/>
            <w:vMerge/>
            <w:tcBorders>
              <w:top w:val="nil"/>
              <w:left w:val="single" w:sz="8" w:space="0" w:color="auto"/>
              <w:bottom w:val="single" w:sz="8" w:space="0" w:color="000000"/>
              <w:right w:val="single" w:sz="8" w:space="0" w:color="auto"/>
            </w:tcBorders>
            <w:vAlign w:val="center"/>
          </w:tcPr>
          <w:p w14:paraId="71177CF4" w14:textId="77777777" w:rsidR="00E27519" w:rsidRDefault="00E27519">
            <w:pPr>
              <w:suppressAutoHyphens w:val="0"/>
              <w:spacing w:before="0"/>
              <w:rPr>
                <w:rFonts w:cs="Times New Roman"/>
                <w:b/>
                <w:bCs/>
                <w:color w:val="000000"/>
                <w:szCs w:val="22"/>
                <w:lang w:eastAsia="it-IT" w:bidi="ar-SA"/>
              </w:rPr>
            </w:pPr>
          </w:p>
        </w:tc>
        <w:tc>
          <w:tcPr>
            <w:tcW w:w="1188" w:type="dxa"/>
            <w:vMerge w:val="restart"/>
            <w:tcBorders>
              <w:top w:val="nil"/>
              <w:left w:val="single" w:sz="8" w:space="0" w:color="auto"/>
              <w:bottom w:val="single" w:sz="8" w:space="0" w:color="000000"/>
              <w:right w:val="single" w:sz="8" w:space="0" w:color="auto"/>
            </w:tcBorders>
            <w:shd w:val="clear" w:color="auto" w:fill="auto"/>
            <w:vAlign w:val="center"/>
          </w:tcPr>
          <w:p w14:paraId="2D21A0AA"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di innovazione e di sviluppo</w:t>
            </w:r>
          </w:p>
        </w:tc>
        <w:tc>
          <w:tcPr>
            <w:tcW w:w="1498" w:type="dxa"/>
            <w:tcBorders>
              <w:top w:val="nil"/>
              <w:left w:val="nil"/>
              <w:bottom w:val="single" w:sz="8" w:space="0" w:color="auto"/>
              <w:right w:val="single" w:sz="8" w:space="0" w:color="auto"/>
            </w:tcBorders>
            <w:shd w:val="clear" w:color="auto" w:fill="auto"/>
            <w:vAlign w:val="center"/>
          </w:tcPr>
          <w:p w14:paraId="7E1D75B1"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Ricerca e della didattica</w:t>
            </w:r>
          </w:p>
        </w:tc>
        <w:tc>
          <w:tcPr>
            <w:tcW w:w="1051" w:type="dxa"/>
            <w:tcBorders>
              <w:top w:val="nil"/>
              <w:left w:val="nil"/>
              <w:bottom w:val="single" w:sz="8" w:space="0" w:color="auto"/>
              <w:right w:val="single" w:sz="8" w:space="0" w:color="auto"/>
            </w:tcBorders>
            <w:shd w:val="thinHorzCross" w:color="95B3D7" w:fill="D7E1EE"/>
            <w:vAlign w:val="center"/>
          </w:tcPr>
          <w:p w14:paraId="4B3902A2"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271" w:type="dxa"/>
            <w:tcBorders>
              <w:top w:val="nil"/>
              <w:left w:val="nil"/>
              <w:bottom w:val="single" w:sz="8" w:space="0" w:color="auto"/>
              <w:right w:val="single" w:sz="8" w:space="0" w:color="auto"/>
            </w:tcBorders>
            <w:shd w:val="clear" w:color="auto" w:fill="auto"/>
            <w:vAlign w:val="center"/>
          </w:tcPr>
          <w:p w14:paraId="6526DA17"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14:paraId="1E898B02"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14:paraId="1DA69FB9"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14:paraId="1C4A4770"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thinHorzCross" w:color="95B3D7" w:fill="D7E1EE"/>
            <w:vAlign w:val="center"/>
          </w:tcPr>
          <w:p w14:paraId="68A3553F"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27" w:type="dxa"/>
            <w:tcBorders>
              <w:top w:val="nil"/>
              <w:left w:val="nil"/>
              <w:bottom w:val="single" w:sz="8" w:space="0" w:color="auto"/>
              <w:right w:val="single" w:sz="8" w:space="0" w:color="auto"/>
            </w:tcBorders>
            <w:shd w:val="clear" w:color="auto" w:fill="auto"/>
            <w:vAlign w:val="center"/>
          </w:tcPr>
          <w:p w14:paraId="5D0A4F9D"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14:paraId="69EBAF55" w14:textId="77777777">
        <w:trPr>
          <w:trHeight w:val="55"/>
          <w:jc w:val="center"/>
        </w:trPr>
        <w:tc>
          <w:tcPr>
            <w:tcW w:w="366" w:type="dxa"/>
            <w:vMerge/>
            <w:tcBorders>
              <w:top w:val="nil"/>
              <w:left w:val="single" w:sz="8" w:space="0" w:color="auto"/>
              <w:bottom w:val="single" w:sz="8" w:space="0" w:color="000000"/>
              <w:right w:val="single" w:sz="8" w:space="0" w:color="auto"/>
            </w:tcBorders>
            <w:vAlign w:val="center"/>
          </w:tcPr>
          <w:p w14:paraId="7C9F558A" w14:textId="77777777"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14:paraId="07A1775D" w14:textId="77777777"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14:paraId="586CD15F"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Sviluppo organizzativo</w:t>
            </w:r>
          </w:p>
        </w:tc>
        <w:tc>
          <w:tcPr>
            <w:tcW w:w="1051" w:type="dxa"/>
            <w:tcBorders>
              <w:top w:val="nil"/>
              <w:left w:val="nil"/>
              <w:bottom w:val="single" w:sz="8" w:space="0" w:color="auto"/>
              <w:right w:val="single" w:sz="8" w:space="0" w:color="auto"/>
            </w:tcBorders>
            <w:shd w:val="clear" w:color="auto" w:fill="auto"/>
            <w:vAlign w:val="center"/>
          </w:tcPr>
          <w:p w14:paraId="61A91841"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14:paraId="2F146149"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14:paraId="3BE50809"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thinHorzCross" w:color="95B3D7" w:fill="D7E1EE"/>
            <w:vAlign w:val="center"/>
          </w:tcPr>
          <w:p w14:paraId="5C7204EE"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14" w:type="dxa"/>
            <w:tcBorders>
              <w:top w:val="nil"/>
              <w:left w:val="nil"/>
              <w:bottom w:val="single" w:sz="8" w:space="0" w:color="auto"/>
              <w:right w:val="single" w:sz="8" w:space="0" w:color="auto"/>
            </w:tcBorders>
            <w:shd w:val="clear" w:color="auto" w:fill="auto"/>
            <w:vAlign w:val="center"/>
          </w:tcPr>
          <w:p w14:paraId="1D33F920"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52" w:type="dxa"/>
            <w:tcBorders>
              <w:top w:val="nil"/>
              <w:left w:val="nil"/>
              <w:bottom w:val="single" w:sz="8" w:space="0" w:color="auto"/>
              <w:right w:val="single" w:sz="8" w:space="0" w:color="auto"/>
            </w:tcBorders>
            <w:shd w:val="clear" w:color="auto" w:fill="auto"/>
            <w:vAlign w:val="center"/>
          </w:tcPr>
          <w:p w14:paraId="6DE91238"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14:paraId="216CE721"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14:paraId="73588993" w14:textId="77777777">
        <w:trPr>
          <w:trHeight w:val="424"/>
          <w:jc w:val="center"/>
        </w:trPr>
        <w:tc>
          <w:tcPr>
            <w:tcW w:w="366" w:type="dxa"/>
            <w:vMerge/>
            <w:tcBorders>
              <w:top w:val="nil"/>
              <w:left w:val="single" w:sz="8" w:space="0" w:color="auto"/>
              <w:bottom w:val="single" w:sz="8" w:space="0" w:color="000000"/>
              <w:right w:val="single" w:sz="8" w:space="0" w:color="auto"/>
            </w:tcBorders>
            <w:vAlign w:val="center"/>
          </w:tcPr>
          <w:p w14:paraId="11B241A0" w14:textId="77777777" w:rsidR="00E27519" w:rsidRDefault="00E27519">
            <w:pPr>
              <w:suppressAutoHyphens w:val="0"/>
              <w:spacing w:before="0"/>
              <w:rPr>
                <w:rFonts w:cs="Times New Roman"/>
                <w:b/>
                <w:bCs/>
                <w:color w:val="000000"/>
                <w:szCs w:val="22"/>
                <w:lang w:eastAsia="it-IT" w:bidi="ar-SA"/>
              </w:rPr>
            </w:pPr>
          </w:p>
        </w:tc>
        <w:tc>
          <w:tcPr>
            <w:tcW w:w="1188" w:type="dxa"/>
            <w:vMerge w:val="restart"/>
            <w:tcBorders>
              <w:top w:val="nil"/>
              <w:left w:val="single" w:sz="8" w:space="0" w:color="auto"/>
              <w:bottom w:val="single" w:sz="8" w:space="0" w:color="000000"/>
              <w:right w:val="single" w:sz="8" w:space="0" w:color="auto"/>
            </w:tcBorders>
            <w:shd w:val="clear" w:color="auto" w:fill="auto"/>
            <w:vAlign w:val="center"/>
          </w:tcPr>
          <w:p w14:paraId="7E8C4042" w14:textId="77777777"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della sostenibilità</w:t>
            </w:r>
          </w:p>
        </w:tc>
        <w:tc>
          <w:tcPr>
            <w:tcW w:w="1498" w:type="dxa"/>
            <w:tcBorders>
              <w:top w:val="nil"/>
              <w:left w:val="nil"/>
              <w:bottom w:val="single" w:sz="8" w:space="0" w:color="auto"/>
              <w:right w:val="single" w:sz="8" w:space="0" w:color="auto"/>
            </w:tcBorders>
            <w:shd w:val="clear" w:color="auto" w:fill="auto"/>
            <w:vAlign w:val="center"/>
          </w:tcPr>
          <w:p w14:paraId="658A1976"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Economico Finanziaria</w:t>
            </w:r>
          </w:p>
        </w:tc>
        <w:tc>
          <w:tcPr>
            <w:tcW w:w="1051" w:type="dxa"/>
            <w:tcBorders>
              <w:top w:val="nil"/>
              <w:left w:val="nil"/>
              <w:bottom w:val="single" w:sz="8" w:space="0" w:color="auto"/>
              <w:right w:val="single" w:sz="8" w:space="0" w:color="auto"/>
            </w:tcBorders>
            <w:shd w:val="clear" w:color="auto" w:fill="auto"/>
            <w:vAlign w:val="center"/>
          </w:tcPr>
          <w:p w14:paraId="7DFFBCDF"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14:paraId="56FDC4A0"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14:paraId="606D13A7"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14:paraId="5397CC3A"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14:paraId="0182AFC1"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thinHorzCross" w:color="95B3D7" w:fill="D7E1EE"/>
            <w:vAlign w:val="center"/>
          </w:tcPr>
          <w:p w14:paraId="0D9D3B0F"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27" w:type="dxa"/>
            <w:tcBorders>
              <w:top w:val="nil"/>
              <w:left w:val="nil"/>
              <w:bottom w:val="single" w:sz="8" w:space="0" w:color="auto"/>
              <w:right w:val="single" w:sz="8" w:space="0" w:color="auto"/>
            </w:tcBorders>
            <w:shd w:val="thinHorzCross" w:color="95B3D7" w:fill="D7E1EE"/>
            <w:vAlign w:val="center"/>
          </w:tcPr>
          <w:p w14:paraId="63EF6DEA"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r>
      <w:tr w:rsidR="00E27519" w14:paraId="4AF0845A" w14:textId="77777777">
        <w:trPr>
          <w:trHeight w:val="55"/>
          <w:jc w:val="center"/>
        </w:trPr>
        <w:tc>
          <w:tcPr>
            <w:tcW w:w="366" w:type="dxa"/>
            <w:vMerge/>
            <w:tcBorders>
              <w:top w:val="nil"/>
              <w:left w:val="single" w:sz="8" w:space="0" w:color="auto"/>
              <w:bottom w:val="single" w:sz="8" w:space="0" w:color="000000"/>
              <w:right w:val="single" w:sz="8" w:space="0" w:color="auto"/>
            </w:tcBorders>
            <w:vAlign w:val="center"/>
          </w:tcPr>
          <w:p w14:paraId="26A2D393" w14:textId="77777777"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14:paraId="4F9B7BF4" w14:textId="77777777"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14:paraId="1AEF1968" w14:textId="77777777"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Investimenti</w:t>
            </w:r>
          </w:p>
        </w:tc>
        <w:tc>
          <w:tcPr>
            <w:tcW w:w="1051" w:type="dxa"/>
            <w:tcBorders>
              <w:top w:val="nil"/>
              <w:left w:val="nil"/>
              <w:bottom w:val="single" w:sz="8" w:space="0" w:color="auto"/>
              <w:right w:val="single" w:sz="8" w:space="0" w:color="auto"/>
            </w:tcBorders>
            <w:shd w:val="clear" w:color="auto" w:fill="auto"/>
            <w:vAlign w:val="center"/>
          </w:tcPr>
          <w:p w14:paraId="61AE757C"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14:paraId="7CDDF38E"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14:paraId="69D582CC"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14:paraId="3F07C1D2" w14:textId="77777777"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14:paraId="27A37CD7"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thinHorzCross" w:color="95B3D7" w:fill="D7E1EE"/>
            <w:vAlign w:val="center"/>
          </w:tcPr>
          <w:p w14:paraId="45F91EFE"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27" w:type="dxa"/>
            <w:tcBorders>
              <w:top w:val="nil"/>
              <w:left w:val="nil"/>
              <w:bottom w:val="single" w:sz="8" w:space="0" w:color="auto"/>
              <w:right w:val="single" w:sz="8" w:space="0" w:color="auto"/>
            </w:tcBorders>
            <w:shd w:val="thinHorzCross" w:color="95B3D7" w:fill="D7E1EE"/>
            <w:vAlign w:val="center"/>
          </w:tcPr>
          <w:p w14:paraId="0126DCC8" w14:textId="77777777"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r>
    </w:tbl>
    <w:p w14:paraId="0812442C" w14:textId="46F130B2" w:rsidR="00E27519" w:rsidRDefault="0003178C">
      <w:pPr>
        <w:jc w:val="both"/>
        <w:rPr>
          <w:sz w:val="20"/>
        </w:rPr>
      </w:pPr>
      <w:r>
        <w:rPr>
          <w:sz w:val="20"/>
        </w:rPr>
        <w:t>Nel Piano 2015-17 l’Azienda ha indicato le aree strategiche  di governo. Gli obiettivi specifici sono stati successivamente  assegnati, per il 2015, alle strutture organizzative responsabili attraverso il processo di programmazione interna (budget, a giugno-luglio 2015) anche a seguito dell’approvazione della programmazione regionale (DGR 901 del 13/7/2015).</w:t>
      </w:r>
    </w:p>
    <w:p w14:paraId="3FCDF1E6" w14:textId="77777777" w:rsidR="00E27519" w:rsidRDefault="00E27519">
      <w:pPr>
        <w:pStyle w:val="Corpodeltesto"/>
        <w:jc w:val="both"/>
        <w:rPr>
          <w:sz w:val="20"/>
        </w:rPr>
      </w:pPr>
    </w:p>
    <w:p w14:paraId="736D604F" w14:textId="0F3F4BA9" w:rsidR="00E27519" w:rsidRDefault="0003178C">
      <w:pPr>
        <w:pStyle w:val="Corpodeltesto"/>
        <w:jc w:val="both"/>
        <w:rPr>
          <w:sz w:val="20"/>
        </w:rPr>
      </w:pPr>
      <w:r>
        <w:rPr>
          <w:sz w:val="20"/>
        </w:rPr>
        <w:t xml:space="preserve">Con il Piano della Performance 2016-18 (Delibera 128 del 30/6/2016), l’Azienda USL di Modena ha formalizzato le attività per il raggiungimento degli obiettivi della programmazione regionale 2016 (DGR 1003/2016), oltre a quelli già assegnati nel processo di negoziazione del Budget 2016 (concluso per la sua prima fase nel mese di dicembre 2015)  derivanti dagli </w:t>
      </w:r>
      <w:r>
        <w:rPr>
          <w:sz w:val="20"/>
        </w:rPr>
        <w:lastRenderedPageBreak/>
        <w:t xml:space="preserve">obiettivi di mandato e di programmazione 2015. Nel Piano, sono stati confermati gli obiettivi di attenzione alla sostenibilità economica, al controllo dei tempi di attesa che dal 2016 riguarda anche gli interventi chirurgici programmati, alla creazione di strutture quali Case della Salute, </w:t>
      </w:r>
      <w:proofErr w:type="spellStart"/>
      <w:r>
        <w:rPr>
          <w:sz w:val="20"/>
        </w:rPr>
        <w:t>OsCo</w:t>
      </w:r>
      <w:proofErr w:type="spellEnd"/>
      <w:r>
        <w:rPr>
          <w:sz w:val="20"/>
        </w:rPr>
        <w:t xml:space="preserve"> e </w:t>
      </w:r>
      <w:proofErr w:type="spellStart"/>
      <w:r>
        <w:rPr>
          <w:sz w:val="20"/>
        </w:rPr>
        <w:t>Hospice</w:t>
      </w:r>
      <w:proofErr w:type="spellEnd"/>
      <w:r>
        <w:rPr>
          <w:sz w:val="20"/>
        </w:rPr>
        <w:t xml:space="preserve">, alla continuità assistenziale e ai pazienti fragili e cronici, al rispetto di  parametri quantitativi e di requisiti guida per il riordino organizzativo ospedaliero, alla conferma degli obiettivi di promozione della salute, e di prevenzione, primo fra tutti quello della implementazione del piano vaccinale.  Specifici obiettivi riguardano anche i collegamenti tra ospedale, strutture intermedie e Case della Salute. Direttrici strategiche  specifiche, definite dal Piano della Performance 2016-2018, sui quali l’Azienda nel corso del 2016 ha proseguito o avviato le attività sono: </w:t>
      </w:r>
    </w:p>
    <w:p w14:paraId="23521253" w14:textId="75B6A46B" w:rsidR="00E27519" w:rsidRDefault="0003178C">
      <w:pPr>
        <w:pStyle w:val="Corpodeltesto"/>
        <w:numPr>
          <w:ilvl w:val="0"/>
          <w:numId w:val="2"/>
        </w:numPr>
        <w:jc w:val="both"/>
        <w:rPr>
          <w:sz w:val="20"/>
        </w:rPr>
      </w:pPr>
      <w:r>
        <w:rPr>
          <w:sz w:val="20"/>
        </w:rPr>
        <w:t>L’equità dei servizi erogati, intesa come la ricerca di condizioni di uguale risposta a uguali bisogni e contrasto alle condizioni che determinano diseguaglianze nell’accesso e nella fruizione dei servizi per la salute;</w:t>
      </w:r>
    </w:p>
    <w:p w14:paraId="1E95AF0E" w14:textId="7958D1F9" w:rsidR="00E27519" w:rsidRDefault="0003178C">
      <w:pPr>
        <w:pStyle w:val="Corpodeltesto"/>
        <w:numPr>
          <w:ilvl w:val="0"/>
          <w:numId w:val="2"/>
        </w:numPr>
        <w:jc w:val="both"/>
        <w:rPr>
          <w:sz w:val="20"/>
        </w:rPr>
      </w:pPr>
      <w:r>
        <w:rPr>
          <w:sz w:val="20"/>
        </w:rPr>
        <w:t>le dimensioni dell’esperienza che il cittadino vive durante tutti i momenti di contatto con i servizi erogati dall’Azienda;</w:t>
      </w:r>
    </w:p>
    <w:p w14:paraId="6F6968B3" w14:textId="03EF24D5" w:rsidR="00E27519" w:rsidRDefault="0003178C">
      <w:pPr>
        <w:pStyle w:val="Corpodeltesto"/>
        <w:numPr>
          <w:ilvl w:val="0"/>
          <w:numId w:val="2"/>
        </w:numPr>
        <w:jc w:val="both"/>
        <w:rPr>
          <w:sz w:val="20"/>
        </w:rPr>
      </w:pPr>
      <w:r>
        <w:rPr>
          <w:sz w:val="20"/>
        </w:rPr>
        <w:t>l’ascolto attivo e l’i interazione con i cittadini , sia singoli che associati per la co-progettazione dei processi e dei percorsi in funzione dei bisogni e delle esperienze d’uso</w:t>
      </w:r>
    </w:p>
    <w:p w14:paraId="451C5B99" w14:textId="18DE0FFC" w:rsidR="00E27519" w:rsidRDefault="0003178C" w:rsidP="0003178C">
      <w:pPr>
        <w:pStyle w:val="Corpodeltesto"/>
        <w:numPr>
          <w:ilvl w:val="0"/>
          <w:numId w:val="2"/>
        </w:numPr>
        <w:jc w:val="both"/>
        <w:rPr>
          <w:sz w:val="20"/>
        </w:rPr>
      </w:pPr>
      <w:r>
        <w:rPr>
          <w:sz w:val="20"/>
        </w:rPr>
        <w:t>la  promozione della prossimità, della proporzionalit</w:t>
      </w:r>
      <w:r w:rsidR="00D947E6">
        <w:rPr>
          <w:sz w:val="20"/>
        </w:rPr>
        <w:t xml:space="preserve">à </w:t>
      </w:r>
      <w:r>
        <w:rPr>
          <w:sz w:val="20"/>
        </w:rPr>
        <w:t xml:space="preserve">e dell’appropriatezza nell’offerta dei servizi </w:t>
      </w:r>
    </w:p>
    <w:p w14:paraId="6BF2D226" w14:textId="0088EBD6" w:rsidR="00E27519" w:rsidRDefault="0003178C">
      <w:pPr>
        <w:pStyle w:val="Corpodeltesto"/>
        <w:numPr>
          <w:ilvl w:val="0"/>
          <w:numId w:val="2"/>
        </w:numPr>
        <w:jc w:val="both"/>
        <w:rPr>
          <w:sz w:val="20"/>
        </w:rPr>
      </w:pPr>
      <w:r>
        <w:rPr>
          <w:sz w:val="20"/>
        </w:rPr>
        <w:t>il contributo alla costruzione di capitale sociale verso tutti i portatori di interesse, basata sulla fiducia che l’azione aziendale è in grado di suscitare;</w:t>
      </w:r>
    </w:p>
    <w:p w14:paraId="5D74E647" w14:textId="77777777" w:rsidR="00E27519" w:rsidRDefault="00E27519" w:rsidP="0003178C">
      <w:pPr>
        <w:pStyle w:val="Corpodeltesto"/>
        <w:ind w:left="720"/>
        <w:jc w:val="both"/>
        <w:rPr>
          <w:sz w:val="20"/>
        </w:rPr>
      </w:pPr>
    </w:p>
    <w:p w14:paraId="68B30FFA" w14:textId="2CCF1B06" w:rsidR="00E27519" w:rsidRDefault="0003178C">
      <w:pPr>
        <w:pStyle w:val="Corpodeltesto"/>
        <w:jc w:val="both"/>
        <w:rPr>
          <w:sz w:val="20"/>
        </w:rPr>
      </w:pPr>
      <w:r>
        <w:rPr>
          <w:sz w:val="20"/>
        </w:rPr>
        <w:t>Il Piano della Performance 2016-2018 elenca alcuni progetti strategici per il triennio di riferimento, definiti sulla base degli obiettivi di mandato assegnati al Direttore Generale e all’azienda USL di Modena e dall’analisi delle indicazioni al miglioramento rilevate dalla valutazione degli indicatori di performance. I progetti individuati, declinati in diverse linee di intervento, sono rappresentati nel diagramma che segue, che ne sintetizza lo stato di avanzamento a fine 2016 e che rimanda alle pagine della presente Relazione per i commenti.</w:t>
      </w:r>
    </w:p>
    <w:p w14:paraId="3878D006" w14:textId="77777777" w:rsidR="00E27519" w:rsidRDefault="0003178C">
      <w:pPr>
        <w:pStyle w:val="Corpodeltesto"/>
        <w:numPr>
          <w:ilvl w:val="0"/>
          <w:numId w:val="3"/>
        </w:numPr>
        <w:spacing w:after="0"/>
        <w:jc w:val="both"/>
        <w:rPr>
          <w:sz w:val="20"/>
        </w:rPr>
      </w:pPr>
      <w:r>
        <w:rPr>
          <w:sz w:val="20"/>
        </w:rPr>
        <w:t>Progetto di gestione unificata NOCSAE-AOU (cfr. pag. 30)</w:t>
      </w:r>
    </w:p>
    <w:tbl>
      <w:tblPr>
        <w:tblW w:w="7774" w:type="dxa"/>
        <w:tblLayout w:type="fixed"/>
        <w:tblCellMar>
          <w:left w:w="70" w:type="dxa"/>
          <w:right w:w="70" w:type="dxa"/>
        </w:tblCellMar>
        <w:tblLook w:val="04A0" w:firstRow="1" w:lastRow="0" w:firstColumn="1" w:lastColumn="0" w:noHBand="0" w:noVBand="1"/>
      </w:tblPr>
      <w:tblGrid>
        <w:gridCol w:w="968"/>
        <w:gridCol w:w="968"/>
        <w:gridCol w:w="968"/>
        <w:gridCol w:w="968"/>
        <w:gridCol w:w="968"/>
        <w:gridCol w:w="190"/>
        <w:gridCol w:w="1776"/>
        <w:gridCol w:w="968"/>
      </w:tblGrid>
      <w:tr w:rsidR="00E27519" w14:paraId="59F2E082" w14:textId="77777777">
        <w:trPr>
          <w:trHeight w:val="300"/>
        </w:trPr>
        <w:tc>
          <w:tcPr>
            <w:tcW w:w="968" w:type="dxa"/>
            <w:tcBorders>
              <w:top w:val="single" w:sz="4" w:space="0" w:color="auto"/>
              <w:left w:val="single" w:sz="4" w:space="0" w:color="auto"/>
              <w:bottom w:val="single" w:sz="4" w:space="0" w:color="auto"/>
              <w:right w:val="nil"/>
            </w:tcBorders>
            <w:shd w:val="clear" w:color="000000" w:fill="00B050"/>
            <w:vAlign w:val="bottom"/>
          </w:tcPr>
          <w:p w14:paraId="0DD146B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3093318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19DFC75C"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38EFDA8E"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64A05406"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90" w:type="dxa"/>
            <w:tcBorders>
              <w:top w:val="single" w:sz="4" w:space="0" w:color="auto"/>
              <w:left w:val="nil"/>
              <w:bottom w:val="single" w:sz="4" w:space="0" w:color="auto"/>
              <w:right w:val="single" w:sz="4" w:space="0" w:color="auto"/>
            </w:tcBorders>
            <w:shd w:val="clear" w:color="000000" w:fill="00B050"/>
            <w:vAlign w:val="bottom"/>
          </w:tcPr>
          <w:p w14:paraId="75C44D3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776" w:type="dxa"/>
            <w:tcBorders>
              <w:top w:val="dotDotDash" w:sz="4" w:space="0" w:color="auto"/>
              <w:left w:val="nil"/>
              <w:bottom w:val="dotDotDash" w:sz="4" w:space="0" w:color="auto"/>
              <w:right w:val="nil"/>
            </w:tcBorders>
            <w:shd w:val="clear" w:color="auto" w:fill="auto"/>
            <w:vAlign w:val="bottom"/>
          </w:tcPr>
          <w:p w14:paraId="06D3D596"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otDash" w:sz="4" w:space="0" w:color="auto"/>
              <w:left w:val="nil"/>
              <w:bottom w:val="dotDotDash" w:sz="4" w:space="0" w:color="auto"/>
              <w:right w:val="dotDotDash" w:sz="4" w:space="0" w:color="auto"/>
            </w:tcBorders>
            <w:shd w:val="clear" w:color="auto" w:fill="auto"/>
            <w:vAlign w:val="bottom"/>
          </w:tcPr>
          <w:p w14:paraId="07B5866E"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559BBE0E" w14:textId="77777777" w:rsidR="00E27519" w:rsidRDefault="00E27519">
      <w:pPr>
        <w:pStyle w:val="Corpodeltesto"/>
        <w:spacing w:after="0"/>
        <w:jc w:val="both"/>
        <w:rPr>
          <w:sz w:val="20"/>
        </w:rPr>
      </w:pPr>
    </w:p>
    <w:p w14:paraId="52D70F54" w14:textId="77777777" w:rsidR="00E27519" w:rsidRDefault="0003178C">
      <w:pPr>
        <w:pStyle w:val="Corpodeltesto"/>
        <w:numPr>
          <w:ilvl w:val="0"/>
          <w:numId w:val="3"/>
        </w:numPr>
        <w:spacing w:after="0"/>
        <w:jc w:val="both"/>
        <w:rPr>
          <w:sz w:val="20"/>
        </w:rPr>
      </w:pPr>
      <w:r>
        <w:rPr>
          <w:sz w:val="20"/>
        </w:rPr>
        <w:t>Miglioramento e controllo dei tempi di attesa (cfr. pag. 23 e ss.)</w:t>
      </w:r>
    </w:p>
    <w:tbl>
      <w:tblPr>
        <w:tblW w:w="7774" w:type="dxa"/>
        <w:tblLayout w:type="fixed"/>
        <w:tblCellMar>
          <w:left w:w="70" w:type="dxa"/>
          <w:right w:w="70" w:type="dxa"/>
        </w:tblCellMar>
        <w:tblLook w:val="04A0" w:firstRow="1" w:lastRow="0" w:firstColumn="1" w:lastColumn="0" w:noHBand="0" w:noVBand="1"/>
      </w:tblPr>
      <w:tblGrid>
        <w:gridCol w:w="968"/>
        <w:gridCol w:w="968"/>
        <w:gridCol w:w="968"/>
        <w:gridCol w:w="968"/>
        <w:gridCol w:w="968"/>
        <w:gridCol w:w="190"/>
        <w:gridCol w:w="1776"/>
        <w:gridCol w:w="968"/>
      </w:tblGrid>
      <w:tr w:rsidR="00E27519" w14:paraId="4F896A8C" w14:textId="77777777">
        <w:trPr>
          <w:trHeight w:val="300"/>
        </w:trPr>
        <w:tc>
          <w:tcPr>
            <w:tcW w:w="968" w:type="dxa"/>
            <w:tcBorders>
              <w:top w:val="single" w:sz="4" w:space="0" w:color="auto"/>
              <w:left w:val="single" w:sz="4" w:space="0" w:color="auto"/>
              <w:bottom w:val="single" w:sz="4" w:space="0" w:color="auto"/>
              <w:right w:val="nil"/>
            </w:tcBorders>
            <w:shd w:val="clear" w:color="000000" w:fill="00B050"/>
            <w:vAlign w:val="bottom"/>
          </w:tcPr>
          <w:p w14:paraId="1F73E71A"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3C75A544"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0851ECDC"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49F86E84"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5AB49970"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90" w:type="dxa"/>
            <w:tcBorders>
              <w:top w:val="single" w:sz="4" w:space="0" w:color="auto"/>
              <w:left w:val="nil"/>
              <w:bottom w:val="single" w:sz="4" w:space="0" w:color="auto"/>
              <w:right w:val="single" w:sz="4" w:space="0" w:color="auto"/>
            </w:tcBorders>
            <w:shd w:val="clear" w:color="000000" w:fill="00B050"/>
            <w:vAlign w:val="bottom"/>
          </w:tcPr>
          <w:p w14:paraId="5D6F5592"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776" w:type="dxa"/>
            <w:tcBorders>
              <w:top w:val="dotDotDash" w:sz="4" w:space="0" w:color="auto"/>
              <w:left w:val="nil"/>
              <w:bottom w:val="dotDotDash" w:sz="4" w:space="0" w:color="auto"/>
              <w:right w:val="nil"/>
            </w:tcBorders>
            <w:shd w:val="clear" w:color="auto" w:fill="auto"/>
            <w:vAlign w:val="bottom"/>
          </w:tcPr>
          <w:p w14:paraId="1332B3DC"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otDash" w:sz="4" w:space="0" w:color="auto"/>
              <w:left w:val="nil"/>
              <w:bottom w:val="dotDotDash" w:sz="4" w:space="0" w:color="auto"/>
              <w:right w:val="dotDotDash" w:sz="4" w:space="0" w:color="auto"/>
            </w:tcBorders>
            <w:shd w:val="clear" w:color="auto" w:fill="auto"/>
            <w:vAlign w:val="bottom"/>
          </w:tcPr>
          <w:p w14:paraId="1B2AAF0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65C94FE1" w14:textId="77777777" w:rsidR="00E27519" w:rsidRDefault="00E27519">
      <w:pPr>
        <w:pStyle w:val="Corpodeltesto"/>
        <w:spacing w:after="0"/>
        <w:jc w:val="both"/>
        <w:rPr>
          <w:sz w:val="20"/>
        </w:rPr>
      </w:pPr>
    </w:p>
    <w:p w14:paraId="770A4E77" w14:textId="77777777" w:rsidR="00E27519" w:rsidRDefault="0003178C">
      <w:pPr>
        <w:pStyle w:val="Corpodeltesto"/>
        <w:numPr>
          <w:ilvl w:val="0"/>
          <w:numId w:val="3"/>
        </w:numPr>
        <w:spacing w:after="0"/>
        <w:jc w:val="both"/>
        <w:rPr>
          <w:sz w:val="20"/>
        </w:rPr>
      </w:pPr>
      <w:r>
        <w:rPr>
          <w:sz w:val="20"/>
        </w:rPr>
        <w:t xml:space="preserve">Politiche aziendali in un’ottica di </w:t>
      </w:r>
      <w:proofErr w:type="spellStart"/>
      <w:r>
        <w:rPr>
          <w:sz w:val="20"/>
        </w:rPr>
        <w:t>Patient</w:t>
      </w:r>
      <w:proofErr w:type="spellEnd"/>
      <w:r>
        <w:rPr>
          <w:sz w:val="20"/>
        </w:rPr>
        <w:t xml:space="preserve"> </w:t>
      </w:r>
      <w:proofErr w:type="spellStart"/>
      <w:r>
        <w:rPr>
          <w:sz w:val="20"/>
        </w:rPr>
        <w:t>Centricity</w:t>
      </w:r>
      <w:proofErr w:type="spellEnd"/>
      <w:r>
        <w:rPr>
          <w:sz w:val="20"/>
        </w:rPr>
        <w:t xml:space="preserve"> (cfr. pag. 10 e ss. 27 e ss.)</w:t>
      </w:r>
    </w:p>
    <w:tbl>
      <w:tblPr>
        <w:tblW w:w="7744" w:type="dxa"/>
        <w:tblLayout w:type="fixed"/>
        <w:tblCellMar>
          <w:left w:w="70" w:type="dxa"/>
          <w:right w:w="70" w:type="dxa"/>
        </w:tblCellMar>
        <w:tblLook w:val="04A0" w:firstRow="1" w:lastRow="0" w:firstColumn="1" w:lastColumn="0" w:noHBand="0" w:noVBand="1"/>
      </w:tblPr>
      <w:tblGrid>
        <w:gridCol w:w="968"/>
        <w:gridCol w:w="968"/>
        <w:gridCol w:w="968"/>
        <w:gridCol w:w="210"/>
        <w:gridCol w:w="1726"/>
        <w:gridCol w:w="968"/>
        <w:gridCol w:w="968"/>
        <w:gridCol w:w="968"/>
      </w:tblGrid>
      <w:tr w:rsidR="00E27519" w14:paraId="4FAA798B" w14:textId="77777777">
        <w:trPr>
          <w:trHeight w:val="300"/>
        </w:trPr>
        <w:tc>
          <w:tcPr>
            <w:tcW w:w="968" w:type="dxa"/>
            <w:tcBorders>
              <w:top w:val="single" w:sz="4" w:space="0" w:color="auto"/>
              <w:left w:val="single" w:sz="4" w:space="0" w:color="auto"/>
              <w:bottom w:val="single" w:sz="4" w:space="0" w:color="auto"/>
              <w:right w:val="nil"/>
            </w:tcBorders>
            <w:shd w:val="clear" w:color="000000" w:fill="00B050"/>
            <w:vAlign w:val="bottom"/>
          </w:tcPr>
          <w:p w14:paraId="6171225D"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4C4042C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584F4CFF"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210" w:type="dxa"/>
            <w:tcBorders>
              <w:top w:val="single" w:sz="4" w:space="0" w:color="auto"/>
              <w:left w:val="nil"/>
              <w:bottom w:val="single" w:sz="4" w:space="0" w:color="auto"/>
              <w:right w:val="single" w:sz="4" w:space="0" w:color="auto"/>
            </w:tcBorders>
            <w:shd w:val="clear" w:color="000000" w:fill="00B050"/>
            <w:vAlign w:val="bottom"/>
          </w:tcPr>
          <w:p w14:paraId="7549B803"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726" w:type="dxa"/>
            <w:tcBorders>
              <w:top w:val="dotDash" w:sz="4" w:space="0" w:color="auto"/>
              <w:left w:val="nil"/>
              <w:bottom w:val="dotDash" w:sz="4" w:space="0" w:color="auto"/>
              <w:right w:val="nil"/>
            </w:tcBorders>
            <w:shd w:val="clear" w:color="auto" w:fill="auto"/>
            <w:vAlign w:val="bottom"/>
          </w:tcPr>
          <w:p w14:paraId="28254214"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3864BDD3"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0BD32936"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dotDash" w:sz="4" w:space="0" w:color="auto"/>
            </w:tcBorders>
            <w:shd w:val="clear" w:color="auto" w:fill="auto"/>
            <w:vAlign w:val="bottom"/>
          </w:tcPr>
          <w:p w14:paraId="3EE0C320"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5A0597F2" w14:textId="77777777" w:rsidR="00E27519" w:rsidRDefault="00E27519">
      <w:pPr>
        <w:pStyle w:val="Corpodeltesto"/>
        <w:spacing w:after="0"/>
        <w:jc w:val="both"/>
        <w:rPr>
          <w:sz w:val="20"/>
        </w:rPr>
      </w:pPr>
    </w:p>
    <w:p w14:paraId="23A2FF93" w14:textId="77777777" w:rsidR="00E27519" w:rsidRDefault="0003178C">
      <w:pPr>
        <w:pStyle w:val="Corpodeltesto"/>
        <w:numPr>
          <w:ilvl w:val="0"/>
          <w:numId w:val="3"/>
        </w:numPr>
        <w:spacing w:after="0"/>
        <w:jc w:val="both"/>
        <w:rPr>
          <w:sz w:val="20"/>
        </w:rPr>
      </w:pPr>
      <w:r>
        <w:rPr>
          <w:sz w:val="20"/>
        </w:rPr>
        <w:t>Attivazione rete provinciale su bassa/media complessità per la chirurgia generale (cfr. pag. 22 e ss.)</w:t>
      </w:r>
    </w:p>
    <w:tbl>
      <w:tblPr>
        <w:tblW w:w="7838" w:type="dxa"/>
        <w:tblLayout w:type="fixed"/>
        <w:tblCellMar>
          <w:left w:w="70" w:type="dxa"/>
          <w:right w:w="70" w:type="dxa"/>
        </w:tblCellMar>
        <w:tblLook w:val="04A0" w:firstRow="1" w:lastRow="0" w:firstColumn="1" w:lastColumn="0" w:noHBand="0" w:noVBand="1"/>
      </w:tblPr>
      <w:tblGrid>
        <w:gridCol w:w="976"/>
        <w:gridCol w:w="976"/>
        <w:gridCol w:w="976"/>
        <w:gridCol w:w="976"/>
        <w:gridCol w:w="976"/>
        <w:gridCol w:w="190"/>
        <w:gridCol w:w="1792"/>
        <w:gridCol w:w="976"/>
      </w:tblGrid>
      <w:tr w:rsidR="00E27519" w14:paraId="5191122D" w14:textId="77777777">
        <w:trPr>
          <w:trHeight w:val="300"/>
        </w:trPr>
        <w:tc>
          <w:tcPr>
            <w:tcW w:w="976" w:type="dxa"/>
            <w:tcBorders>
              <w:top w:val="single" w:sz="4" w:space="0" w:color="auto"/>
              <w:left w:val="nil"/>
              <w:bottom w:val="single" w:sz="4" w:space="0" w:color="auto"/>
              <w:right w:val="nil"/>
            </w:tcBorders>
            <w:shd w:val="clear" w:color="000000" w:fill="00B050"/>
            <w:vAlign w:val="bottom"/>
          </w:tcPr>
          <w:p w14:paraId="3F336A04"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3276FD76"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19E661D3"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364399D8"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5A71C42A"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90" w:type="dxa"/>
            <w:tcBorders>
              <w:top w:val="single" w:sz="4" w:space="0" w:color="auto"/>
              <w:left w:val="nil"/>
              <w:bottom w:val="single" w:sz="4" w:space="0" w:color="auto"/>
              <w:right w:val="single" w:sz="4" w:space="0" w:color="auto"/>
            </w:tcBorders>
            <w:shd w:val="clear" w:color="000000" w:fill="00B050"/>
            <w:vAlign w:val="bottom"/>
          </w:tcPr>
          <w:p w14:paraId="597F7126"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792" w:type="dxa"/>
            <w:tcBorders>
              <w:top w:val="dotDotDash" w:sz="4" w:space="0" w:color="auto"/>
              <w:left w:val="nil"/>
              <w:bottom w:val="dotDotDash" w:sz="4" w:space="0" w:color="auto"/>
              <w:right w:val="nil"/>
            </w:tcBorders>
            <w:shd w:val="clear" w:color="auto" w:fill="auto"/>
            <w:vAlign w:val="bottom"/>
          </w:tcPr>
          <w:p w14:paraId="09249C3E"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dotDash" w:sz="4" w:space="0" w:color="auto"/>
              <w:left w:val="nil"/>
              <w:bottom w:val="dotDash" w:sz="4" w:space="0" w:color="auto"/>
              <w:right w:val="dotDash" w:sz="4" w:space="0" w:color="auto"/>
            </w:tcBorders>
            <w:shd w:val="clear" w:color="auto" w:fill="auto"/>
            <w:vAlign w:val="bottom"/>
          </w:tcPr>
          <w:p w14:paraId="5C8ABD6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4573288E" w14:textId="77777777" w:rsidR="00E27519" w:rsidRDefault="00E27519">
      <w:pPr>
        <w:pStyle w:val="Corpodeltesto"/>
        <w:spacing w:after="0"/>
        <w:jc w:val="both"/>
        <w:rPr>
          <w:sz w:val="20"/>
        </w:rPr>
      </w:pPr>
    </w:p>
    <w:p w14:paraId="6DE7B21D" w14:textId="77777777" w:rsidR="00E27519" w:rsidRDefault="0003178C">
      <w:pPr>
        <w:pStyle w:val="Corpodeltesto"/>
        <w:numPr>
          <w:ilvl w:val="0"/>
          <w:numId w:val="3"/>
        </w:numPr>
        <w:spacing w:after="0"/>
        <w:jc w:val="both"/>
        <w:rPr>
          <w:sz w:val="20"/>
        </w:rPr>
      </w:pPr>
      <w:r>
        <w:rPr>
          <w:sz w:val="20"/>
        </w:rPr>
        <w:t>PAC Certificazione di Bilancio</w:t>
      </w:r>
    </w:p>
    <w:tbl>
      <w:tblPr>
        <w:tblW w:w="7744" w:type="dxa"/>
        <w:tblLayout w:type="fixed"/>
        <w:tblCellMar>
          <w:left w:w="70" w:type="dxa"/>
          <w:right w:w="70" w:type="dxa"/>
        </w:tblCellMar>
        <w:tblLook w:val="04A0" w:firstRow="1" w:lastRow="0" w:firstColumn="1" w:lastColumn="0" w:noHBand="0" w:noVBand="1"/>
      </w:tblPr>
      <w:tblGrid>
        <w:gridCol w:w="968"/>
        <w:gridCol w:w="1721"/>
        <w:gridCol w:w="215"/>
        <w:gridCol w:w="968"/>
        <w:gridCol w:w="968"/>
        <w:gridCol w:w="968"/>
        <w:gridCol w:w="968"/>
        <w:gridCol w:w="968"/>
      </w:tblGrid>
      <w:tr w:rsidR="00E27519" w14:paraId="5410880C" w14:textId="77777777">
        <w:trPr>
          <w:trHeight w:val="300"/>
        </w:trPr>
        <w:tc>
          <w:tcPr>
            <w:tcW w:w="968" w:type="dxa"/>
            <w:tcBorders>
              <w:top w:val="single" w:sz="4" w:space="0" w:color="auto"/>
              <w:left w:val="single" w:sz="4" w:space="0" w:color="auto"/>
              <w:bottom w:val="single" w:sz="4" w:space="0" w:color="auto"/>
              <w:right w:val="nil"/>
            </w:tcBorders>
            <w:shd w:val="clear" w:color="000000" w:fill="00B050"/>
            <w:vAlign w:val="bottom"/>
          </w:tcPr>
          <w:p w14:paraId="6CA8FD44" w14:textId="77777777" w:rsidR="00E27519" w:rsidRDefault="00E27519">
            <w:pPr>
              <w:suppressAutoHyphens w:val="0"/>
              <w:spacing w:before="0"/>
              <w:rPr>
                <w:rFonts w:cs="Times New Roman"/>
                <w:color w:val="000000"/>
                <w:szCs w:val="22"/>
                <w:lang w:eastAsia="it-IT" w:bidi="ar-SA"/>
              </w:rPr>
            </w:pPr>
          </w:p>
        </w:tc>
        <w:tc>
          <w:tcPr>
            <w:tcW w:w="1721" w:type="dxa"/>
            <w:tcBorders>
              <w:top w:val="single" w:sz="4" w:space="0" w:color="auto"/>
              <w:left w:val="nil"/>
              <w:bottom w:val="single" w:sz="4" w:space="0" w:color="auto"/>
              <w:right w:val="single" w:sz="4" w:space="0" w:color="auto"/>
            </w:tcBorders>
            <w:shd w:val="clear" w:color="000000" w:fill="00B050"/>
            <w:vAlign w:val="bottom"/>
          </w:tcPr>
          <w:p w14:paraId="2A0907ED" w14:textId="77777777" w:rsidR="00E27519" w:rsidRDefault="00E27519">
            <w:pPr>
              <w:suppressAutoHyphens w:val="0"/>
              <w:spacing w:before="0"/>
              <w:rPr>
                <w:rFonts w:cs="Times New Roman"/>
                <w:color w:val="000000"/>
                <w:szCs w:val="22"/>
                <w:lang w:eastAsia="it-IT" w:bidi="ar-SA"/>
              </w:rPr>
            </w:pPr>
          </w:p>
        </w:tc>
        <w:tc>
          <w:tcPr>
            <w:tcW w:w="215" w:type="dxa"/>
            <w:tcBorders>
              <w:top w:val="dotDash" w:sz="4" w:space="0" w:color="auto"/>
              <w:left w:val="nil"/>
              <w:bottom w:val="dotDash" w:sz="4" w:space="0" w:color="auto"/>
              <w:right w:val="nil"/>
            </w:tcBorders>
            <w:shd w:val="clear" w:color="auto" w:fill="auto"/>
            <w:vAlign w:val="bottom"/>
          </w:tcPr>
          <w:p w14:paraId="3781CA11" w14:textId="77777777" w:rsidR="00E27519" w:rsidRDefault="00E27519">
            <w:pPr>
              <w:suppressAutoHyphens w:val="0"/>
              <w:spacing w:before="0"/>
              <w:rPr>
                <w:rFonts w:cs="Times New Roman"/>
                <w:color w:val="000000"/>
                <w:szCs w:val="22"/>
                <w:lang w:eastAsia="it-IT" w:bidi="ar-SA"/>
              </w:rPr>
            </w:pPr>
          </w:p>
        </w:tc>
        <w:tc>
          <w:tcPr>
            <w:tcW w:w="968" w:type="dxa"/>
            <w:tcBorders>
              <w:top w:val="dotDash" w:sz="4" w:space="0" w:color="auto"/>
              <w:left w:val="nil"/>
              <w:bottom w:val="dotDash" w:sz="4" w:space="0" w:color="auto"/>
              <w:right w:val="nil"/>
            </w:tcBorders>
            <w:shd w:val="clear" w:color="auto" w:fill="auto"/>
            <w:vAlign w:val="bottom"/>
          </w:tcPr>
          <w:p w14:paraId="0931C625" w14:textId="77777777" w:rsidR="00E27519" w:rsidRDefault="00E27519">
            <w:pPr>
              <w:suppressAutoHyphens w:val="0"/>
              <w:spacing w:before="0"/>
              <w:rPr>
                <w:rFonts w:cs="Times New Roman"/>
                <w:color w:val="000000"/>
                <w:szCs w:val="22"/>
                <w:lang w:eastAsia="it-IT" w:bidi="ar-SA"/>
              </w:rPr>
            </w:pPr>
          </w:p>
        </w:tc>
        <w:tc>
          <w:tcPr>
            <w:tcW w:w="968" w:type="dxa"/>
            <w:tcBorders>
              <w:top w:val="dotDash" w:sz="4" w:space="0" w:color="auto"/>
              <w:left w:val="nil"/>
              <w:bottom w:val="dotDash" w:sz="4" w:space="0" w:color="auto"/>
              <w:right w:val="nil"/>
            </w:tcBorders>
            <w:shd w:val="clear" w:color="auto" w:fill="auto"/>
            <w:vAlign w:val="bottom"/>
          </w:tcPr>
          <w:p w14:paraId="558B365B" w14:textId="77777777" w:rsidR="00E27519" w:rsidRDefault="00E27519">
            <w:pPr>
              <w:suppressAutoHyphens w:val="0"/>
              <w:spacing w:before="0"/>
              <w:rPr>
                <w:rFonts w:cs="Times New Roman"/>
                <w:color w:val="000000"/>
                <w:szCs w:val="22"/>
                <w:lang w:eastAsia="it-IT" w:bidi="ar-SA"/>
              </w:rPr>
            </w:pPr>
          </w:p>
        </w:tc>
        <w:tc>
          <w:tcPr>
            <w:tcW w:w="968" w:type="dxa"/>
            <w:tcBorders>
              <w:top w:val="dotDash" w:sz="4" w:space="0" w:color="auto"/>
              <w:left w:val="nil"/>
              <w:bottom w:val="dotDash" w:sz="4" w:space="0" w:color="auto"/>
              <w:right w:val="nil"/>
            </w:tcBorders>
            <w:shd w:val="clear" w:color="auto" w:fill="auto"/>
            <w:vAlign w:val="bottom"/>
          </w:tcPr>
          <w:p w14:paraId="58B134BF" w14:textId="77777777" w:rsidR="00E27519" w:rsidRDefault="00E27519">
            <w:pPr>
              <w:suppressAutoHyphens w:val="0"/>
              <w:spacing w:before="0"/>
              <w:rPr>
                <w:rFonts w:cs="Times New Roman"/>
                <w:color w:val="000000"/>
                <w:szCs w:val="22"/>
                <w:lang w:eastAsia="it-IT" w:bidi="ar-SA"/>
              </w:rPr>
            </w:pPr>
          </w:p>
        </w:tc>
        <w:tc>
          <w:tcPr>
            <w:tcW w:w="968" w:type="dxa"/>
            <w:tcBorders>
              <w:top w:val="dotDash" w:sz="4" w:space="0" w:color="auto"/>
              <w:left w:val="nil"/>
              <w:bottom w:val="dotDash" w:sz="4" w:space="0" w:color="auto"/>
              <w:right w:val="nil"/>
            </w:tcBorders>
            <w:shd w:val="clear" w:color="auto" w:fill="auto"/>
            <w:vAlign w:val="bottom"/>
          </w:tcPr>
          <w:p w14:paraId="21416E9C" w14:textId="77777777" w:rsidR="00E27519" w:rsidRDefault="00E27519">
            <w:pPr>
              <w:suppressAutoHyphens w:val="0"/>
              <w:spacing w:before="0"/>
              <w:rPr>
                <w:rFonts w:cs="Times New Roman"/>
                <w:color w:val="000000"/>
                <w:szCs w:val="22"/>
                <w:lang w:eastAsia="it-IT" w:bidi="ar-SA"/>
              </w:rPr>
            </w:pPr>
          </w:p>
        </w:tc>
        <w:tc>
          <w:tcPr>
            <w:tcW w:w="968" w:type="dxa"/>
            <w:tcBorders>
              <w:top w:val="dotDash" w:sz="4" w:space="0" w:color="auto"/>
              <w:left w:val="nil"/>
              <w:bottom w:val="dotDash" w:sz="4" w:space="0" w:color="auto"/>
              <w:right w:val="dotDash" w:sz="4" w:space="0" w:color="auto"/>
            </w:tcBorders>
            <w:shd w:val="clear" w:color="auto" w:fill="auto"/>
            <w:vAlign w:val="bottom"/>
          </w:tcPr>
          <w:p w14:paraId="663D2DBD" w14:textId="77777777" w:rsidR="00E27519" w:rsidRDefault="00E27519">
            <w:pPr>
              <w:suppressAutoHyphens w:val="0"/>
              <w:spacing w:before="0"/>
              <w:rPr>
                <w:rFonts w:cs="Times New Roman"/>
                <w:color w:val="000000"/>
                <w:szCs w:val="22"/>
                <w:lang w:eastAsia="it-IT" w:bidi="ar-SA"/>
              </w:rPr>
            </w:pPr>
          </w:p>
        </w:tc>
      </w:tr>
    </w:tbl>
    <w:p w14:paraId="19400CC7" w14:textId="77777777" w:rsidR="00E27519" w:rsidRDefault="00E27519">
      <w:pPr>
        <w:pStyle w:val="Corpodeltesto"/>
        <w:spacing w:after="0"/>
        <w:jc w:val="both"/>
        <w:rPr>
          <w:sz w:val="20"/>
        </w:rPr>
      </w:pPr>
    </w:p>
    <w:p w14:paraId="4936EEA8" w14:textId="77777777" w:rsidR="00E27519" w:rsidRDefault="0003178C">
      <w:pPr>
        <w:pStyle w:val="Corpodeltesto"/>
        <w:numPr>
          <w:ilvl w:val="0"/>
          <w:numId w:val="3"/>
        </w:numPr>
        <w:spacing w:after="0"/>
        <w:jc w:val="both"/>
        <w:rPr>
          <w:sz w:val="20"/>
        </w:rPr>
      </w:pPr>
      <w:r>
        <w:rPr>
          <w:sz w:val="20"/>
        </w:rPr>
        <w:t>Miglioramento dei sistemi di rendicontazione interna ed esterna (cfr. pag. 36 e ss.)</w:t>
      </w:r>
    </w:p>
    <w:tbl>
      <w:tblPr>
        <w:tblW w:w="7808" w:type="dxa"/>
        <w:tblLayout w:type="fixed"/>
        <w:tblCellMar>
          <w:left w:w="70" w:type="dxa"/>
          <w:right w:w="70" w:type="dxa"/>
        </w:tblCellMar>
        <w:tblLook w:val="04A0" w:firstRow="1" w:lastRow="0" w:firstColumn="1" w:lastColumn="0" w:noHBand="0" w:noVBand="1"/>
      </w:tblPr>
      <w:tblGrid>
        <w:gridCol w:w="976"/>
        <w:gridCol w:w="976"/>
        <w:gridCol w:w="976"/>
        <w:gridCol w:w="976"/>
        <w:gridCol w:w="976"/>
        <w:gridCol w:w="976"/>
        <w:gridCol w:w="976"/>
        <w:gridCol w:w="976"/>
      </w:tblGrid>
      <w:tr w:rsidR="00E27519" w14:paraId="3E4CE812" w14:textId="77777777">
        <w:trPr>
          <w:trHeight w:val="300"/>
        </w:trPr>
        <w:tc>
          <w:tcPr>
            <w:tcW w:w="976" w:type="dxa"/>
            <w:tcBorders>
              <w:top w:val="single" w:sz="4" w:space="0" w:color="auto"/>
              <w:left w:val="nil"/>
              <w:bottom w:val="single" w:sz="4" w:space="0" w:color="auto"/>
              <w:right w:val="nil"/>
            </w:tcBorders>
            <w:shd w:val="clear" w:color="000000" w:fill="00B050"/>
            <w:vAlign w:val="bottom"/>
          </w:tcPr>
          <w:p w14:paraId="5B6E7DFE"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38E466BF"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2D466F53"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02299700"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1092984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single" w:sz="4" w:space="0" w:color="auto"/>
            </w:tcBorders>
            <w:shd w:val="clear" w:color="000000" w:fill="00B050"/>
            <w:vAlign w:val="bottom"/>
          </w:tcPr>
          <w:p w14:paraId="62E93F0D"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dotDotDash" w:sz="4" w:space="0" w:color="auto"/>
              <w:left w:val="nil"/>
              <w:bottom w:val="dotDotDash" w:sz="4" w:space="0" w:color="auto"/>
              <w:right w:val="nil"/>
            </w:tcBorders>
            <w:shd w:val="clear" w:color="auto" w:fill="auto"/>
            <w:vAlign w:val="bottom"/>
          </w:tcPr>
          <w:p w14:paraId="2924C358"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dotDash" w:sz="4" w:space="0" w:color="auto"/>
              <w:left w:val="nil"/>
              <w:bottom w:val="dotDash" w:sz="4" w:space="0" w:color="auto"/>
              <w:right w:val="dotDash" w:sz="4" w:space="0" w:color="auto"/>
            </w:tcBorders>
            <w:shd w:val="clear" w:color="auto" w:fill="auto"/>
            <w:vAlign w:val="bottom"/>
          </w:tcPr>
          <w:p w14:paraId="0266D6D9"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276FDEF2" w14:textId="77777777" w:rsidR="00E27519" w:rsidRDefault="00E27519">
      <w:pPr>
        <w:pStyle w:val="Corpodeltesto"/>
        <w:spacing w:after="0"/>
        <w:ind w:left="360"/>
        <w:jc w:val="both"/>
        <w:rPr>
          <w:sz w:val="20"/>
        </w:rPr>
      </w:pPr>
    </w:p>
    <w:p w14:paraId="09C8C3AF" w14:textId="77777777" w:rsidR="00E27519" w:rsidRDefault="0003178C">
      <w:pPr>
        <w:pStyle w:val="Corpodeltesto"/>
        <w:numPr>
          <w:ilvl w:val="0"/>
          <w:numId w:val="3"/>
        </w:numPr>
        <w:spacing w:after="0"/>
        <w:jc w:val="both"/>
        <w:rPr>
          <w:sz w:val="20"/>
        </w:rPr>
      </w:pPr>
      <w:r>
        <w:rPr>
          <w:sz w:val="20"/>
        </w:rPr>
        <w:t>Semplificazione dell’accesso (cfr. pag. 19 e ss.)</w:t>
      </w:r>
    </w:p>
    <w:tbl>
      <w:tblPr>
        <w:tblW w:w="7808" w:type="dxa"/>
        <w:tblLayout w:type="fixed"/>
        <w:tblCellMar>
          <w:left w:w="70" w:type="dxa"/>
          <w:right w:w="70" w:type="dxa"/>
        </w:tblCellMar>
        <w:tblLook w:val="04A0" w:firstRow="1" w:lastRow="0" w:firstColumn="1" w:lastColumn="0" w:noHBand="0" w:noVBand="1"/>
      </w:tblPr>
      <w:tblGrid>
        <w:gridCol w:w="976"/>
        <w:gridCol w:w="976"/>
        <w:gridCol w:w="976"/>
        <w:gridCol w:w="976"/>
        <w:gridCol w:w="976"/>
        <w:gridCol w:w="976"/>
        <w:gridCol w:w="976"/>
        <w:gridCol w:w="976"/>
      </w:tblGrid>
      <w:tr w:rsidR="00E27519" w14:paraId="388FB571" w14:textId="77777777">
        <w:trPr>
          <w:trHeight w:val="300"/>
        </w:trPr>
        <w:tc>
          <w:tcPr>
            <w:tcW w:w="976" w:type="dxa"/>
            <w:tcBorders>
              <w:top w:val="single" w:sz="4" w:space="0" w:color="auto"/>
              <w:left w:val="nil"/>
              <w:bottom w:val="single" w:sz="4" w:space="0" w:color="auto"/>
              <w:right w:val="nil"/>
            </w:tcBorders>
            <w:shd w:val="clear" w:color="000000" w:fill="00B050"/>
            <w:vAlign w:val="bottom"/>
          </w:tcPr>
          <w:p w14:paraId="7607B4E9"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lastRenderedPageBreak/>
              <w:t> </w:t>
            </w:r>
          </w:p>
        </w:tc>
        <w:tc>
          <w:tcPr>
            <w:tcW w:w="976" w:type="dxa"/>
            <w:tcBorders>
              <w:top w:val="single" w:sz="4" w:space="0" w:color="auto"/>
              <w:left w:val="nil"/>
              <w:bottom w:val="single" w:sz="4" w:space="0" w:color="auto"/>
              <w:right w:val="nil"/>
            </w:tcBorders>
            <w:shd w:val="clear" w:color="000000" w:fill="00B050"/>
            <w:vAlign w:val="bottom"/>
          </w:tcPr>
          <w:p w14:paraId="20B45285"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40CE862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4DFDEEE5"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21C2A7C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single" w:sz="4" w:space="0" w:color="auto"/>
            </w:tcBorders>
            <w:shd w:val="clear" w:color="000000" w:fill="00B050"/>
            <w:vAlign w:val="bottom"/>
          </w:tcPr>
          <w:p w14:paraId="43AB35F0"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dotDotDash" w:sz="4" w:space="0" w:color="auto"/>
              <w:left w:val="nil"/>
              <w:bottom w:val="dotDotDash" w:sz="4" w:space="0" w:color="auto"/>
              <w:right w:val="nil"/>
            </w:tcBorders>
            <w:shd w:val="clear" w:color="auto" w:fill="auto"/>
            <w:vAlign w:val="bottom"/>
          </w:tcPr>
          <w:p w14:paraId="1A411E51"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dotDash" w:sz="4" w:space="0" w:color="auto"/>
              <w:left w:val="nil"/>
              <w:bottom w:val="dotDash" w:sz="4" w:space="0" w:color="auto"/>
              <w:right w:val="dotDash" w:sz="4" w:space="0" w:color="auto"/>
            </w:tcBorders>
            <w:shd w:val="clear" w:color="auto" w:fill="auto"/>
            <w:vAlign w:val="bottom"/>
          </w:tcPr>
          <w:p w14:paraId="4F34D301"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7C306EFD" w14:textId="77777777" w:rsidR="00E27519" w:rsidRDefault="00E27519">
      <w:pPr>
        <w:pStyle w:val="Corpodeltesto"/>
        <w:spacing w:after="0"/>
        <w:jc w:val="both"/>
        <w:rPr>
          <w:sz w:val="20"/>
        </w:rPr>
      </w:pPr>
    </w:p>
    <w:p w14:paraId="691ECFED" w14:textId="77777777" w:rsidR="00E27519" w:rsidRDefault="0003178C">
      <w:pPr>
        <w:pStyle w:val="Corpodeltesto"/>
        <w:numPr>
          <w:ilvl w:val="0"/>
          <w:numId w:val="3"/>
        </w:numPr>
        <w:spacing w:after="0"/>
        <w:jc w:val="both"/>
        <w:rPr>
          <w:sz w:val="20"/>
        </w:rPr>
      </w:pPr>
      <w:r>
        <w:rPr>
          <w:sz w:val="20"/>
        </w:rPr>
        <w:t>Costruzione del capitale sociale (cfr. pag. 16 e ss.)</w:t>
      </w:r>
    </w:p>
    <w:tbl>
      <w:tblPr>
        <w:tblW w:w="7744" w:type="dxa"/>
        <w:tblLayout w:type="fixed"/>
        <w:tblCellMar>
          <w:left w:w="70" w:type="dxa"/>
          <w:right w:w="70" w:type="dxa"/>
        </w:tblCellMar>
        <w:tblLook w:val="04A0" w:firstRow="1" w:lastRow="0" w:firstColumn="1" w:lastColumn="0" w:noHBand="0" w:noVBand="1"/>
      </w:tblPr>
      <w:tblGrid>
        <w:gridCol w:w="968"/>
        <w:gridCol w:w="968"/>
        <w:gridCol w:w="968"/>
        <w:gridCol w:w="968"/>
        <w:gridCol w:w="968"/>
        <w:gridCol w:w="968"/>
        <w:gridCol w:w="968"/>
        <w:gridCol w:w="968"/>
      </w:tblGrid>
      <w:tr w:rsidR="00E27519" w14:paraId="36BA0D99" w14:textId="77777777">
        <w:trPr>
          <w:trHeight w:val="300"/>
        </w:trPr>
        <w:tc>
          <w:tcPr>
            <w:tcW w:w="968" w:type="dxa"/>
            <w:tcBorders>
              <w:top w:val="single" w:sz="4" w:space="0" w:color="auto"/>
              <w:left w:val="single" w:sz="4" w:space="0" w:color="auto"/>
              <w:bottom w:val="single" w:sz="4" w:space="0" w:color="auto"/>
              <w:right w:val="nil"/>
            </w:tcBorders>
            <w:shd w:val="clear" w:color="000000" w:fill="00B050"/>
            <w:vAlign w:val="bottom"/>
          </w:tcPr>
          <w:p w14:paraId="5E1BA63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65C47421"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nil"/>
            </w:tcBorders>
            <w:shd w:val="clear" w:color="000000" w:fill="00B050"/>
            <w:vAlign w:val="bottom"/>
          </w:tcPr>
          <w:p w14:paraId="3CA80243"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single" w:sz="4" w:space="0" w:color="auto"/>
            </w:tcBorders>
            <w:shd w:val="clear" w:color="000000" w:fill="00B050"/>
            <w:vAlign w:val="bottom"/>
          </w:tcPr>
          <w:p w14:paraId="146B89E0"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7C951F6D"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7FE39C9E"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59FC5BB3"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dotDash" w:sz="4" w:space="0" w:color="auto"/>
            </w:tcBorders>
            <w:shd w:val="clear" w:color="auto" w:fill="auto"/>
            <w:vAlign w:val="bottom"/>
          </w:tcPr>
          <w:p w14:paraId="4156B712"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1AA87B2E" w14:textId="77777777" w:rsidR="00E27519" w:rsidRDefault="00E27519">
      <w:pPr>
        <w:pStyle w:val="Corpodeltesto"/>
        <w:spacing w:after="0"/>
        <w:jc w:val="both"/>
        <w:rPr>
          <w:sz w:val="20"/>
        </w:rPr>
      </w:pPr>
    </w:p>
    <w:p w14:paraId="4C8A49F5" w14:textId="77777777" w:rsidR="00E27519" w:rsidRDefault="0003178C">
      <w:pPr>
        <w:pStyle w:val="Corpodeltesto"/>
        <w:numPr>
          <w:ilvl w:val="0"/>
          <w:numId w:val="3"/>
        </w:numPr>
        <w:spacing w:after="0"/>
        <w:jc w:val="both"/>
        <w:rPr>
          <w:sz w:val="20"/>
        </w:rPr>
      </w:pPr>
      <w:r>
        <w:rPr>
          <w:sz w:val="20"/>
        </w:rPr>
        <w:t>Modalità di ascolto attivo e interazione</w:t>
      </w:r>
    </w:p>
    <w:tbl>
      <w:tblPr>
        <w:tblW w:w="7808" w:type="dxa"/>
        <w:tblLayout w:type="fixed"/>
        <w:tblCellMar>
          <w:left w:w="70" w:type="dxa"/>
          <w:right w:w="70" w:type="dxa"/>
        </w:tblCellMar>
        <w:tblLook w:val="04A0" w:firstRow="1" w:lastRow="0" w:firstColumn="1" w:lastColumn="0" w:noHBand="0" w:noVBand="1"/>
      </w:tblPr>
      <w:tblGrid>
        <w:gridCol w:w="976"/>
        <w:gridCol w:w="976"/>
        <w:gridCol w:w="976"/>
        <w:gridCol w:w="976"/>
        <w:gridCol w:w="976"/>
        <w:gridCol w:w="976"/>
        <w:gridCol w:w="976"/>
        <w:gridCol w:w="976"/>
      </w:tblGrid>
      <w:tr w:rsidR="00E27519" w14:paraId="62C7EB4B" w14:textId="77777777">
        <w:trPr>
          <w:trHeight w:val="300"/>
        </w:trPr>
        <w:tc>
          <w:tcPr>
            <w:tcW w:w="976" w:type="dxa"/>
            <w:tcBorders>
              <w:top w:val="single" w:sz="4" w:space="0" w:color="auto"/>
              <w:left w:val="nil"/>
              <w:bottom w:val="single" w:sz="4" w:space="0" w:color="auto"/>
              <w:right w:val="nil"/>
            </w:tcBorders>
            <w:shd w:val="clear" w:color="000000" w:fill="00B050"/>
            <w:vAlign w:val="bottom"/>
          </w:tcPr>
          <w:p w14:paraId="70442952"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01F22F85"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4315B731"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33219D48"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2B9BB2C4"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single" w:sz="4" w:space="0" w:color="auto"/>
            </w:tcBorders>
            <w:shd w:val="clear" w:color="000000" w:fill="00B050"/>
            <w:vAlign w:val="bottom"/>
          </w:tcPr>
          <w:p w14:paraId="0F25DA5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dotDotDash" w:sz="4" w:space="0" w:color="auto"/>
              <w:left w:val="nil"/>
              <w:bottom w:val="dotDotDash" w:sz="4" w:space="0" w:color="auto"/>
              <w:right w:val="nil"/>
            </w:tcBorders>
            <w:shd w:val="clear" w:color="auto" w:fill="auto"/>
            <w:vAlign w:val="bottom"/>
          </w:tcPr>
          <w:p w14:paraId="3A367DAC"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dotDash" w:sz="4" w:space="0" w:color="auto"/>
              <w:left w:val="nil"/>
              <w:bottom w:val="dotDash" w:sz="4" w:space="0" w:color="auto"/>
              <w:right w:val="dotDash" w:sz="4" w:space="0" w:color="auto"/>
            </w:tcBorders>
            <w:shd w:val="clear" w:color="auto" w:fill="auto"/>
            <w:vAlign w:val="bottom"/>
          </w:tcPr>
          <w:p w14:paraId="577FF431"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2A9A80E0" w14:textId="77777777" w:rsidR="00E27519" w:rsidRDefault="00E27519">
      <w:pPr>
        <w:pStyle w:val="Corpodeltesto"/>
        <w:spacing w:after="0"/>
        <w:jc w:val="both"/>
        <w:rPr>
          <w:sz w:val="20"/>
        </w:rPr>
      </w:pPr>
    </w:p>
    <w:p w14:paraId="044EE90C" w14:textId="77777777" w:rsidR="00E27519" w:rsidRDefault="0003178C">
      <w:pPr>
        <w:pStyle w:val="Corpodeltesto"/>
        <w:numPr>
          <w:ilvl w:val="0"/>
          <w:numId w:val="3"/>
        </w:numPr>
        <w:spacing w:after="0"/>
        <w:jc w:val="both"/>
        <w:rPr>
          <w:sz w:val="20"/>
        </w:rPr>
      </w:pPr>
      <w:r>
        <w:rPr>
          <w:sz w:val="20"/>
        </w:rPr>
        <w:t>Politiche e strumenti di equità (cfr. pag. 26)</w:t>
      </w:r>
    </w:p>
    <w:tbl>
      <w:tblPr>
        <w:tblW w:w="7838" w:type="dxa"/>
        <w:tblLayout w:type="fixed"/>
        <w:tblCellMar>
          <w:left w:w="70" w:type="dxa"/>
          <w:right w:w="70" w:type="dxa"/>
        </w:tblCellMar>
        <w:tblLook w:val="04A0" w:firstRow="1" w:lastRow="0" w:firstColumn="1" w:lastColumn="0" w:noHBand="0" w:noVBand="1"/>
      </w:tblPr>
      <w:tblGrid>
        <w:gridCol w:w="976"/>
        <w:gridCol w:w="976"/>
        <w:gridCol w:w="976"/>
        <w:gridCol w:w="976"/>
        <w:gridCol w:w="976"/>
        <w:gridCol w:w="190"/>
        <w:gridCol w:w="1792"/>
        <w:gridCol w:w="976"/>
      </w:tblGrid>
      <w:tr w:rsidR="00E27519" w14:paraId="5806ACE5" w14:textId="77777777">
        <w:trPr>
          <w:trHeight w:val="300"/>
        </w:trPr>
        <w:tc>
          <w:tcPr>
            <w:tcW w:w="976" w:type="dxa"/>
            <w:tcBorders>
              <w:top w:val="single" w:sz="4" w:space="0" w:color="auto"/>
              <w:left w:val="nil"/>
              <w:bottom w:val="single" w:sz="4" w:space="0" w:color="auto"/>
              <w:right w:val="nil"/>
            </w:tcBorders>
            <w:shd w:val="clear" w:color="000000" w:fill="00B050"/>
            <w:vAlign w:val="bottom"/>
          </w:tcPr>
          <w:p w14:paraId="624F126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0E81D73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262AB5CC"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4F8D11E6"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71F486A2"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90" w:type="dxa"/>
            <w:tcBorders>
              <w:top w:val="single" w:sz="4" w:space="0" w:color="auto"/>
              <w:left w:val="nil"/>
              <w:bottom w:val="single" w:sz="4" w:space="0" w:color="auto"/>
              <w:right w:val="single" w:sz="4" w:space="0" w:color="auto"/>
            </w:tcBorders>
            <w:shd w:val="clear" w:color="000000" w:fill="00B050"/>
            <w:vAlign w:val="bottom"/>
          </w:tcPr>
          <w:p w14:paraId="4CDDEC23"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792" w:type="dxa"/>
            <w:tcBorders>
              <w:top w:val="dotDotDash" w:sz="4" w:space="0" w:color="auto"/>
              <w:left w:val="nil"/>
              <w:bottom w:val="dotDotDash" w:sz="4" w:space="0" w:color="auto"/>
              <w:right w:val="nil"/>
            </w:tcBorders>
            <w:shd w:val="clear" w:color="auto" w:fill="auto"/>
            <w:vAlign w:val="bottom"/>
          </w:tcPr>
          <w:p w14:paraId="78B8DB25"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dotDash" w:sz="4" w:space="0" w:color="auto"/>
              <w:left w:val="nil"/>
              <w:bottom w:val="dotDash" w:sz="4" w:space="0" w:color="auto"/>
              <w:right w:val="dotDash" w:sz="4" w:space="0" w:color="auto"/>
            </w:tcBorders>
            <w:shd w:val="clear" w:color="auto" w:fill="auto"/>
            <w:vAlign w:val="bottom"/>
          </w:tcPr>
          <w:p w14:paraId="66BC11E0"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1323A3F6" w14:textId="77777777" w:rsidR="00E27519" w:rsidRDefault="00E27519">
      <w:pPr>
        <w:pStyle w:val="Corpodeltesto"/>
        <w:spacing w:after="0"/>
        <w:jc w:val="both"/>
        <w:rPr>
          <w:sz w:val="20"/>
        </w:rPr>
      </w:pPr>
    </w:p>
    <w:p w14:paraId="5955D4E1" w14:textId="77777777" w:rsidR="00E27519" w:rsidRDefault="0003178C">
      <w:pPr>
        <w:pStyle w:val="Corpodeltesto"/>
        <w:numPr>
          <w:ilvl w:val="0"/>
          <w:numId w:val="3"/>
        </w:numPr>
        <w:spacing w:after="0"/>
        <w:jc w:val="both"/>
        <w:rPr>
          <w:sz w:val="20"/>
        </w:rPr>
      </w:pPr>
      <w:r>
        <w:rPr>
          <w:sz w:val="20"/>
        </w:rPr>
        <w:t>Progetto Accreditamento</w:t>
      </w:r>
    </w:p>
    <w:tbl>
      <w:tblPr>
        <w:tblW w:w="7744" w:type="dxa"/>
        <w:tblLayout w:type="fixed"/>
        <w:tblCellMar>
          <w:left w:w="70" w:type="dxa"/>
          <w:right w:w="70" w:type="dxa"/>
        </w:tblCellMar>
        <w:tblLook w:val="04A0" w:firstRow="1" w:lastRow="0" w:firstColumn="1" w:lastColumn="0" w:noHBand="0" w:noVBand="1"/>
      </w:tblPr>
      <w:tblGrid>
        <w:gridCol w:w="968"/>
        <w:gridCol w:w="968"/>
        <w:gridCol w:w="968"/>
        <w:gridCol w:w="968"/>
        <w:gridCol w:w="968"/>
        <w:gridCol w:w="968"/>
        <w:gridCol w:w="968"/>
        <w:gridCol w:w="968"/>
      </w:tblGrid>
      <w:tr w:rsidR="00E27519" w14:paraId="199C8DC2" w14:textId="77777777">
        <w:trPr>
          <w:trHeight w:val="300"/>
        </w:trPr>
        <w:tc>
          <w:tcPr>
            <w:tcW w:w="968" w:type="dxa"/>
            <w:tcBorders>
              <w:top w:val="single" w:sz="4" w:space="0" w:color="auto"/>
              <w:left w:val="single" w:sz="4" w:space="0" w:color="auto"/>
              <w:bottom w:val="single" w:sz="4" w:space="0" w:color="auto"/>
              <w:right w:val="nil"/>
            </w:tcBorders>
            <w:shd w:val="clear" w:color="000000" w:fill="00B050"/>
            <w:vAlign w:val="bottom"/>
          </w:tcPr>
          <w:p w14:paraId="4CD4A4A3"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single" w:sz="4" w:space="0" w:color="auto"/>
              <w:left w:val="nil"/>
              <w:bottom w:val="single" w:sz="4" w:space="0" w:color="auto"/>
              <w:right w:val="single" w:sz="4" w:space="0" w:color="auto"/>
            </w:tcBorders>
            <w:shd w:val="clear" w:color="000000" w:fill="00B050"/>
            <w:vAlign w:val="bottom"/>
          </w:tcPr>
          <w:p w14:paraId="14BCE672"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2DE1661A"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3B16C03F"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72DA11B1"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32E5A73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nil"/>
            </w:tcBorders>
            <w:shd w:val="clear" w:color="auto" w:fill="auto"/>
            <w:vAlign w:val="bottom"/>
          </w:tcPr>
          <w:p w14:paraId="2F4CC2D2"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68" w:type="dxa"/>
            <w:tcBorders>
              <w:top w:val="dotDash" w:sz="4" w:space="0" w:color="auto"/>
              <w:left w:val="nil"/>
              <w:bottom w:val="dotDash" w:sz="4" w:space="0" w:color="auto"/>
              <w:right w:val="dotDash" w:sz="4" w:space="0" w:color="auto"/>
            </w:tcBorders>
            <w:shd w:val="clear" w:color="auto" w:fill="auto"/>
            <w:vAlign w:val="bottom"/>
          </w:tcPr>
          <w:p w14:paraId="2EDAC3F6"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25F719B4" w14:textId="77777777" w:rsidR="00E27519" w:rsidRDefault="00E27519">
      <w:pPr>
        <w:pStyle w:val="Corpodeltesto"/>
        <w:spacing w:after="0"/>
        <w:jc w:val="both"/>
        <w:rPr>
          <w:sz w:val="20"/>
        </w:rPr>
      </w:pPr>
    </w:p>
    <w:p w14:paraId="13A1DA25" w14:textId="77777777" w:rsidR="00E27519" w:rsidRDefault="0003178C">
      <w:pPr>
        <w:pStyle w:val="Corpodeltesto"/>
        <w:numPr>
          <w:ilvl w:val="0"/>
          <w:numId w:val="3"/>
        </w:numPr>
        <w:spacing w:after="0"/>
        <w:jc w:val="both"/>
        <w:rPr>
          <w:sz w:val="20"/>
        </w:rPr>
      </w:pPr>
      <w:r>
        <w:rPr>
          <w:sz w:val="20"/>
        </w:rPr>
        <w:t>Processi di gestione risorse umane (cfr. pag. 28 e ss.)</w:t>
      </w:r>
    </w:p>
    <w:tbl>
      <w:tblPr>
        <w:tblW w:w="7838" w:type="dxa"/>
        <w:tblLayout w:type="fixed"/>
        <w:tblCellMar>
          <w:left w:w="70" w:type="dxa"/>
          <w:right w:w="70" w:type="dxa"/>
        </w:tblCellMar>
        <w:tblLook w:val="04A0" w:firstRow="1" w:lastRow="0" w:firstColumn="1" w:lastColumn="0" w:noHBand="0" w:noVBand="1"/>
      </w:tblPr>
      <w:tblGrid>
        <w:gridCol w:w="976"/>
        <w:gridCol w:w="976"/>
        <w:gridCol w:w="976"/>
        <w:gridCol w:w="976"/>
        <w:gridCol w:w="976"/>
        <w:gridCol w:w="190"/>
        <w:gridCol w:w="1792"/>
        <w:gridCol w:w="976"/>
      </w:tblGrid>
      <w:tr w:rsidR="00E27519" w14:paraId="610F6F79" w14:textId="77777777">
        <w:trPr>
          <w:trHeight w:val="300"/>
        </w:trPr>
        <w:tc>
          <w:tcPr>
            <w:tcW w:w="976" w:type="dxa"/>
            <w:tcBorders>
              <w:top w:val="single" w:sz="4" w:space="0" w:color="auto"/>
              <w:left w:val="nil"/>
              <w:bottom w:val="single" w:sz="4" w:space="0" w:color="auto"/>
              <w:right w:val="nil"/>
            </w:tcBorders>
            <w:shd w:val="clear" w:color="000000" w:fill="00B050"/>
            <w:vAlign w:val="bottom"/>
          </w:tcPr>
          <w:p w14:paraId="433A896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37B6AEC1"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765AF6A1"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1AB47A7F"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single" w:sz="4" w:space="0" w:color="auto"/>
              <w:left w:val="nil"/>
              <w:bottom w:val="single" w:sz="4" w:space="0" w:color="auto"/>
              <w:right w:val="nil"/>
            </w:tcBorders>
            <w:shd w:val="clear" w:color="000000" w:fill="00B050"/>
            <w:vAlign w:val="bottom"/>
          </w:tcPr>
          <w:p w14:paraId="18CC254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90" w:type="dxa"/>
            <w:tcBorders>
              <w:top w:val="single" w:sz="4" w:space="0" w:color="auto"/>
              <w:left w:val="nil"/>
              <w:bottom w:val="single" w:sz="4" w:space="0" w:color="auto"/>
              <w:right w:val="single" w:sz="4" w:space="0" w:color="auto"/>
            </w:tcBorders>
            <w:shd w:val="clear" w:color="000000" w:fill="00B050"/>
            <w:vAlign w:val="bottom"/>
          </w:tcPr>
          <w:p w14:paraId="6ABF68D6"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1792" w:type="dxa"/>
            <w:tcBorders>
              <w:top w:val="dotDotDash" w:sz="4" w:space="0" w:color="auto"/>
              <w:left w:val="nil"/>
              <w:bottom w:val="dotDotDash" w:sz="4" w:space="0" w:color="auto"/>
              <w:right w:val="nil"/>
            </w:tcBorders>
            <w:shd w:val="clear" w:color="auto" w:fill="auto"/>
            <w:vAlign w:val="bottom"/>
          </w:tcPr>
          <w:p w14:paraId="4C25DB98"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976" w:type="dxa"/>
            <w:tcBorders>
              <w:top w:val="dotDash" w:sz="4" w:space="0" w:color="auto"/>
              <w:left w:val="nil"/>
              <w:bottom w:val="dotDash" w:sz="4" w:space="0" w:color="auto"/>
              <w:right w:val="dotDash" w:sz="4" w:space="0" w:color="auto"/>
            </w:tcBorders>
            <w:shd w:val="clear" w:color="auto" w:fill="auto"/>
            <w:vAlign w:val="bottom"/>
          </w:tcPr>
          <w:p w14:paraId="636627BD"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r>
    </w:tbl>
    <w:p w14:paraId="283471CA" w14:textId="77777777" w:rsidR="00E27519" w:rsidRDefault="00E27519">
      <w:pPr>
        <w:pStyle w:val="Corpodeltesto"/>
        <w:jc w:val="both"/>
        <w:rPr>
          <w:sz w:val="20"/>
        </w:rPr>
      </w:pPr>
    </w:p>
    <w:p w14:paraId="7EFE1D62" w14:textId="204C7A57" w:rsidR="00E27519" w:rsidRDefault="0003178C">
      <w:pPr>
        <w:pStyle w:val="Corpodeltesto"/>
        <w:spacing w:before="120" w:after="0"/>
        <w:jc w:val="both"/>
        <w:rPr>
          <w:sz w:val="20"/>
        </w:rPr>
      </w:pPr>
      <w:r>
        <w:rPr>
          <w:sz w:val="20"/>
        </w:rPr>
        <w:t xml:space="preserve">Nel seguito della Relazione, per ciascuna area strategica, si sintetizzano i principali risultati raggiunti nel 2016, e in taluni casi gli obiettivi fissati per il 2017, a seguito degli obiettivi di mandato del Direttore Generale (DGR 170/2015), della programmazione regionale 2016 (DGR 1003/2016) e degli obiettivi di miglioramento da fonte interna. </w:t>
      </w:r>
    </w:p>
    <w:p w14:paraId="75BA31FC" w14:textId="77777777" w:rsidR="00E27519" w:rsidRDefault="0003178C">
      <w:pPr>
        <w:jc w:val="both"/>
        <w:rPr>
          <w:sz w:val="20"/>
        </w:rPr>
      </w:pPr>
      <w:r>
        <w:rPr>
          <w:sz w:val="20"/>
        </w:rPr>
        <w:t xml:space="preserve">Lo schema seguente illustra, in estrema sintesi, le traiettorie prioritarie della strategia aziendale, che hanno caratterizzato le singole politiche e iniziative descritte nel seguito a partire dalla mission aziendale, distinte per area strategica di intervento. </w:t>
      </w:r>
    </w:p>
    <w:p w14:paraId="031C7448" w14:textId="77777777" w:rsidR="00E27519" w:rsidRDefault="00E27519">
      <w:pPr>
        <w:jc w:val="both"/>
        <w:rPr>
          <w:sz w:val="20"/>
        </w:rPr>
      </w:pPr>
    </w:p>
    <w:p w14:paraId="75A598A3" w14:textId="77777777" w:rsidR="00E27519" w:rsidRDefault="00E27519">
      <w:pPr>
        <w:jc w:val="center"/>
        <w:rPr>
          <w:sz w:val="18"/>
        </w:rPr>
      </w:pPr>
    </w:p>
    <w:p w14:paraId="6CDDA50B" w14:textId="77777777" w:rsidR="00E27519" w:rsidRDefault="0003178C">
      <w:pPr>
        <w:pStyle w:val="Corpodeltesto"/>
        <w:spacing w:before="120" w:after="0"/>
        <w:jc w:val="center"/>
        <w:rPr>
          <w:sz w:val="20"/>
        </w:rPr>
      </w:pPr>
      <w:r>
        <w:rPr>
          <w:noProof/>
          <w:sz w:val="20"/>
          <w:lang w:eastAsia="it-IT" w:bidi="ar-SA"/>
        </w:rPr>
        <w:lastRenderedPageBreak/>
        <w:drawing>
          <wp:inline distT="0" distB="0" distL="0" distR="0" wp14:anchorId="48EA859F" wp14:editId="6814F83B">
            <wp:extent cx="4712335" cy="3331845"/>
            <wp:effectExtent l="0" t="0" r="0" b="190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20281" cy="3337904"/>
                    </a:xfrm>
                    <a:prstGeom prst="rect">
                      <a:avLst/>
                    </a:prstGeom>
                    <a:noFill/>
                    <a:ln>
                      <a:noFill/>
                    </a:ln>
                  </pic:spPr>
                </pic:pic>
              </a:graphicData>
            </a:graphic>
          </wp:inline>
        </w:drawing>
      </w:r>
    </w:p>
    <w:p w14:paraId="0E118345" w14:textId="77777777" w:rsidR="00E27519" w:rsidRDefault="00E27519">
      <w:pPr>
        <w:pStyle w:val="Corpodeltesto"/>
        <w:spacing w:before="120" w:after="0"/>
        <w:jc w:val="both"/>
        <w:rPr>
          <w:sz w:val="20"/>
        </w:rPr>
      </w:pPr>
    </w:p>
    <w:p w14:paraId="50E5B3AD" w14:textId="57C45899" w:rsidR="00E27519" w:rsidRDefault="0003178C">
      <w:pPr>
        <w:pStyle w:val="Corpodeltesto"/>
        <w:spacing w:before="120" w:after="0"/>
        <w:jc w:val="both"/>
        <w:rPr>
          <w:sz w:val="20"/>
        </w:rPr>
      </w:pPr>
      <w:r>
        <w:rPr>
          <w:sz w:val="20"/>
        </w:rPr>
        <w:t xml:space="preserve"> </w:t>
      </w:r>
    </w:p>
    <w:p w14:paraId="172AC3E0" w14:textId="0272B4FB" w:rsidR="00E27519" w:rsidRDefault="0003178C">
      <w:pPr>
        <w:pStyle w:val="Corpodeltesto"/>
        <w:spacing w:before="120" w:after="0"/>
        <w:jc w:val="both"/>
        <w:rPr>
          <w:sz w:val="20"/>
        </w:rPr>
      </w:pPr>
      <w:r>
        <w:rPr>
          <w:sz w:val="20"/>
        </w:rPr>
        <w:t xml:space="preserve">La Vision che la Direzione  intende perseguire è sintetizzata nell’espressione: “Generatore di Salute per i cittadini”: </w:t>
      </w:r>
    </w:p>
    <w:p w14:paraId="5EA91B8D" w14:textId="0595AD2C" w:rsidR="00E27519" w:rsidRDefault="0003178C">
      <w:pPr>
        <w:pStyle w:val="Corpodeltesto"/>
        <w:numPr>
          <w:ilvl w:val="0"/>
          <w:numId w:val="4"/>
        </w:numPr>
        <w:spacing w:before="120" w:after="0"/>
        <w:jc w:val="both"/>
        <w:rPr>
          <w:b/>
          <w:i/>
          <w:sz w:val="20"/>
        </w:rPr>
      </w:pPr>
      <w:r>
        <w:rPr>
          <w:sz w:val="20"/>
        </w:rPr>
        <w:t>“</w:t>
      </w:r>
      <w:r>
        <w:rPr>
          <w:b/>
          <w:sz w:val="20"/>
        </w:rPr>
        <w:t>Generatore</w:t>
      </w:r>
      <w:r>
        <w:rPr>
          <w:sz w:val="20"/>
        </w:rPr>
        <w:t xml:space="preserve">”, in quanto produttori diretta di prestazioni sanitarie - secondo criteri di equità, appropriatezza, semplificazione, accessibilità, qualità -  insieme alla gestione della committenza, con l’AOU Policlinico di Modena e con le altre aziende produttrici, ma soprattutto quale Agenzia in grado di incidere sull’ambiente esterno e sui determinanti di salute oggetto di possibili interventi.  </w:t>
      </w:r>
      <w:r>
        <w:rPr>
          <w:b/>
          <w:i/>
          <w:sz w:val="20"/>
        </w:rPr>
        <w:t>Generare, in maniera diretta od indiretta, in qualità di produttori o committenti, salute per i propri cittadini.</w:t>
      </w:r>
    </w:p>
    <w:p w14:paraId="1892CC63" w14:textId="648186D3" w:rsidR="00E27519" w:rsidRDefault="0003178C">
      <w:pPr>
        <w:pStyle w:val="Corpodeltesto"/>
        <w:numPr>
          <w:ilvl w:val="0"/>
          <w:numId w:val="4"/>
        </w:numPr>
        <w:spacing w:before="120" w:after="0"/>
        <w:jc w:val="both"/>
        <w:rPr>
          <w:b/>
          <w:i/>
          <w:sz w:val="20"/>
        </w:rPr>
      </w:pPr>
      <w:r>
        <w:rPr>
          <w:sz w:val="20"/>
        </w:rPr>
        <w:t>“</w:t>
      </w:r>
      <w:r>
        <w:rPr>
          <w:b/>
          <w:sz w:val="20"/>
        </w:rPr>
        <w:t>Salute</w:t>
      </w:r>
      <w:r w:rsidR="00BF11E4">
        <w:rPr>
          <w:sz w:val="20"/>
        </w:rPr>
        <w:t>”: le attivit</w:t>
      </w:r>
      <w:r w:rsidR="00D947E6">
        <w:rPr>
          <w:sz w:val="20"/>
        </w:rPr>
        <w:t xml:space="preserve">à </w:t>
      </w:r>
      <w:r w:rsidR="00BF11E4">
        <w:rPr>
          <w:sz w:val="20"/>
        </w:rPr>
        <w:t xml:space="preserve">svolte </w:t>
      </w:r>
      <w:r>
        <w:rPr>
          <w:sz w:val="20"/>
        </w:rPr>
        <w:t>sono direttamente ed indirettamente orientate a</w:t>
      </w:r>
      <w:r w:rsidR="00BF11E4">
        <w:rPr>
          <w:sz w:val="20"/>
        </w:rPr>
        <w:t xml:space="preserve">l </w:t>
      </w:r>
      <w:r>
        <w:rPr>
          <w:sz w:val="20"/>
        </w:rPr>
        <w:t xml:space="preserve">miglioramento </w:t>
      </w:r>
      <w:r w:rsidR="00BF11E4">
        <w:rPr>
          <w:sz w:val="20"/>
        </w:rPr>
        <w:t>del</w:t>
      </w:r>
      <w:r>
        <w:rPr>
          <w:sz w:val="20"/>
        </w:rPr>
        <w:t xml:space="preserve">lo stato di salute di tutti i cittadini, nelle sue diverse dimensioni e </w:t>
      </w:r>
      <w:proofErr w:type="spellStart"/>
      <w:r>
        <w:rPr>
          <w:sz w:val="20"/>
        </w:rPr>
        <w:t>possibilita’</w:t>
      </w:r>
      <w:proofErr w:type="spellEnd"/>
      <w:r>
        <w:rPr>
          <w:sz w:val="20"/>
        </w:rPr>
        <w:t xml:space="preserve">, graduando gli interventi di prevenzione, diagnosi, cura, riabilitazione  mediante la centralità della integrazione  tra diversi </w:t>
      </w:r>
      <w:proofErr w:type="spellStart"/>
      <w:r>
        <w:rPr>
          <w:sz w:val="20"/>
        </w:rPr>
        <w:t>setting</w:t>
      </w:r>
      <w:proofErr w:type="spellEnd"/>
      <w:r>
        <w:rPr>
          <w:sz w:val="20"/>
        </w:rPr>
        <w:t xml:space="preserve"> assistenziali allo scopo di preservare il </w:t>
      </w:r>
      <w:proofErr w:type="spellStart"/>
      <w:r>
        <w:rPr>
          <w:sz w:val="20"/>
        </w:rPr>
        <w:t>piu’</w:t>
      </w:r>
      <w:proofErr w:type="spellEnd"/>
      <w:r>
        <w:rPr>
          <w:sz w:val="20"/>
        </w:rPr>
        <w:t xml:space="preserve"> elevato capitale di salute possibile, nel contesto delle condizioni di vita di ogni singolo individuo, sostenendo le potenzialit</w:t>
      </w:r>
      <w:r w:rsidR="00D947E6">
        <w:rPr>
          <w:sz w:val="20"/>
        </w:rPr>
        <w:t xml:space="preserve">à </w:t>
      </w:r>
      <w:r>
        <w:rPr>
          <w:sz w:val="20"/>
        </w:rPr>
        <w:t>individuali, la capacit</w:t>
      </w:r>
      <w:r w:rsidR="00D947E6">
        <w:rPr>
          <w:sz w:val="20"/>
        </w:rPr>
        <w:t xml:space="preserve">à </w:t>
      </w:r>
      <w:r>
        <w:rPr>
          <w:sz w:val="20"/>
        </w:rPr>
        <w:t xml:space="preserve">di partecipare attivamente al processo di cura. </w:t>
      </w:r>
      <w:r>
        <w:rPr>
          <w:b/>
          <w:i/>
          <w:sz w:val="20"/>
        </w:rPr>
        <w:t>Salute intesa in senso ampio, non solo come assenza di malattia ma anche come «il miglior grado di salute possibile alla quale sappiamo adattarci».</w:t>
      </w:r>
    </w:p>
    <w:p w14:paraId="52B7B579" w14:textId="4F2AA850" w:rsidR="00E27519" w:rsidRDefault="0003178C">
      <w:pPr>
        <w:pStyle w:val="Corpodeltesto"/>
        <w:numPr>
          <w:ilvl w:val="0"/>
          <w:numId w:val="4"/>
        </w:numPr>
        <w:spacing w:before="120" w:after="0"/>
        <w:jc w:val="both"/>
        <w:rPr>
          <w:b/>
          <w:i/>
          <w:sz w:val="20"/>
        </w:rPr>
      </w:pPr>
      <w:r>
        <w:rPr>
          <w:sz w:val="20"/>
        </w:rPr>
        <w:t>“</w:t>
      </w:r>
      <w:r>
        <w:rPr>
          <w:b/>
          <w:sz w:val="20"/>
        </w:rPr>
        <w:t>Cittadini</w:t>
      </w:r>
      <w:r>
        <w:rPr>
          <w:sz w:val="20"/>
        </w:rPr>
        <w:t>”: il diritto di cittadinanza assume valore concreto nella esigibilit</w:t>
      </w:r>
      <w:r w:rsidR="00D947E6">
        <w:rPr>
          <w:sz w:val="20"/>
        </w:rPr>
        <w:t xml:space="preserve">à </w:t>
      </w:r>
      <w:r>
        <w:rPr>
          <w:sz w:val="20"/>
        </w:rPr>
        <w:t>dei diritti di eguaglianza, dignit</w:t>
      </w:r>
      <w:r w:rsidR="00D947E6">
        <w:rPr>
          <w:sz w:val="20"/>
        </w:rPr>
        <w:t xml:space="preserve">à </w:t>
      </w:r>
      <w:r>
        <w:rPr>
          <w:sz w:val="20"/>
        </w:rPr>
        <w:t>rispetto</w:t>
      </w:r>
      <w:r w:rsidR="00BF11E4">
        <w:rPr>
          <w:sz w:val="20"/>
        </w:rPr>
        <w:t>, pari opportunità, solidarietà</w:t>
      </w:r>
      <w:r>
        <w:rPr>
          <w:sz w:val="20"/>
        </w:rPr>
        <w:t>, partecipazione che generano capitale sociale, uno dei principali determinanti della salute. Al pari l’esperienza del cittadino nel perseguimento degli obiettivi di salute, allorquan</w:t>
      </w:r>
      <w:r w:rsidR="00BF11E4">
        <w:rPr>
          <w:sz w:val="20"/>
        </w:rPr>
        <w:t>do attraversa  i</w:t>
      </w:r>
      <w:r>
        <w:rPr>
          <w:sz w:val="20"/>
        </w:rPr>
        <w:t xml:space="preserve"> servizi o partecipa attivamente a configurare il profilo di servizio e l’identit</w:t>
      </w:r>
      <w:r w:rsidR="00D947E6">
        <w:rPr>
          <w:sz w:val="20"/>
        </w:rPr>
        <w:t xml:space="preserve">à </w:t>
      </w:r>
      <w:r>
        <w:rPr>
          <w:sz w:val="20"/>
        </w:rPr>
        <w:t>comunitaria dell’Azienda</w:t>
      </w:r>
      <w:r w:rsidR="00BF11E4">
        <w:rPr>
          <w:sz w:val="20"/>
        </w:rPr>
        <w:t>.</w:t>
      </w:r>
      <w:r>
        <w:rPr>
          <w:sz w:val="20"/>
        </w:rPr>
        <w:t xml:space="preserve"> </w:t>
      </w:r>
      <w:r>
        <w:rPr>
          <w:b/>
          <w:i/>
          <w:sz w:val="20"/>
        </w:rPr>
        <w:t xml:space="preserve">Massimizzare il capitale sociale, portando a sistema tutti i contributi dei componenti la comunità di riferimento generando valore per il singolo e la </w:t>
      </w:r>
      <w:proofErr w:type="spellStart"/>
      <w:r>
        <w:rPr>
          <w:b/>
          <w:i/>
          <w:sz w:val="20"/>
        </w:rPr>
        <w:t>collettivita’</w:t>
      </w:r>
      <w:proofErr w:type="spellEnd"/>
      <w:r>
        <w:rPr>
          <w:b/>
          <w:i/>
          <w:sz w:val="20"/>
        </w:rPr>
        <w:t xml:space="preserve">. </w:t>
      </w:r>
    </w:p>
    <w:p w14:paraId="6CB9D60B" w14:textId="77777777" w:rsidR="00E27519" w:rsidRDefault="00E27519">
      <w:pPr>
        <w:pStyle w:val="Corpodeltesto"/>
        <w:spacing w:before="120" w:after="0"/>
        <w:jc w:val="both"/>
        <w:rPr>
          <w:sz w:val="20"/>
        </w:rPr>
      </w:pPr>
    </w:p>
    <w:p w14:paraId="666F727C" w14:textId="10F08A10" w:rsidR="00E27519" w:rsidRDefault="0003178C" w:rsidP="0003178C">
      <w:pPr>
        <w:pStyle w:val="Corpodeltesto"/>
        <w:numPr>
          <w:ilvl w:val="255"/>
          <w:numId w:val="0"/>
        </w:numPr>
        <w:spacing w:before="120" w:after="0"/>
        <w:jc w:val="both"/>
        <w:rPr>
          <w:sz w:val="20"/>
        </w:rPr>
      </w:pPr>
      <w:r>
        <w:rPr>
          <w:sz w:val="20"/>
        </w:rPr>
        <w:t xml:space="preserve">In questa logica il principio della </w:t>
      </w:r>
      <w:proofErr w:type="spellStart"/>
      <w:r>
        <w:rPr>
          <w:b/>
          <w:i/>
          <w:sz w:val="20"/>
        </w:rPr>
        <w:t>accountability</w:t>
      </w:r>
      <w:proofErr w:type="spellEnd"/>
      <w:r>
        <w:rPr>
          <w:sz w:val="20"/>
        </w:rPr>
        <w:t xml:space="preserve">, inteso come rendicontazione alla comunità dell’operato e dei risultati conseguiti e in itinere, al fine di sostenere la </w:t>
      </w:r>
      <w:proofErr w:type="spellStart"/>
      <w:r>
        <w:rPr>
          <w:sz w:val="20"/>
        </w:rPr>
        <w:t>credibilita’</w:t>
      </w:r>
      <w:proofErr w:type="spellEnd"/>
      <w:r>
        <w:rPr>
          <w:sz w:val="20"/>
        </w:rPr>
        <w:t>, la fiducia, la reputazione sociale</w:t>
      </w:r>
      <w:r w:rsidR="00BF11E4">
        <w:rPr>
          <w:sz w:val="20"/>
        </w:rPr>
        <w:t>,</w:t>
      </w:r>
      <w:r>
        <w:rPr>
          <w:sz w:val="20"/>
        </w:rPr>
        <w:t xml:space="preserve">  la legittimazione dell’Azienda Sanitaria Pubblica, attraverso  la creazione di </w:t>
      </w:r>
      <w:r>
        <w:rPr>
          <w:b/>
          <w:sz w:val="20"/>
        </w:rPr>
        <w:t xml:space="preserve">Valore </w:t>
      </w:r>
      <w:r w:rsidRPr="0003178C">
        <w:rPr>
          <w:bCs/>
          <w:sz w:val="20"/>
        </w:rPr>
        <w:t>percepibile dei principali portatori di legittimo interesse</w:t>
      </w:r>
      <w:r>
        <w:rPr>
          <w:bCs/>
          <w:sz w:val="20"/>
        </w:rPr>
        <w:t>.</w:t>
      </w:r>
      <w:r>
        <w:rPr>
          <w:sz w:val="20"/>
        </w:rPr>
        <w:t xml:space="preserve"> </w:t>
      </w:r>
    </w:p>
    <w:p w14:paraId="5C87F189" w14:textId="23D21AD2" w:rsidR="00E27519" w:rsidRDefault="0003178C">
      <w:pPr>
        <w:pStyle w:val="Corpodeltesto"/>
        <w:spacing w:before="120" w:after="0"/>
        <w:jc w:val="both"/>
        <w:rPr>
          <w:sz w:val="20"/>
        </w:rPr>
      </w:pPr>
      <w:r>
        <w:rPr>
          <w:sz w:val="20"/>
        </w:rPr>
        <w:t xml:space="preserve">La </w:t>
      </w:r>
      <w:r w:rsidRPr="0003178C">
        <w:rPr>
          <w:b/>
          <w:bCs/>
          <w:sz w:val="20"/>
        </w:rPr>
        <w:t>velocit</w:t>
      </w:r>
      <w:r w:rsidR="00D947E6">
        <w:rPr>
          <w:b/>
          <w:bCs/>
          <w:sz w:val="20"/>
        </w:rPr>
        <w:t xml:space="preserve">à </w:t>
      </w:r>
      <w:r>
        <w:rPr>
          <w:sz w:val="20"/>
        </w:rPr>
        <w:t xml:space="preserve">intesa come: a) capacità di raggiungimento degli obiettivi prefissati entro tempi predefiniti, il più possibile brevi; b) capacità di stare al passo con i cambiamenti della società e dei bisogni dei cittadini; c) capacità di gestire al meglio l’unica </w:t>
      </w:r>
      <w:r>
        <w:rPr>
          <w:sz w:val="20"/>
        </w:rPr>
        <w:lastRenderedPageBreak/>
        <w:t>risorsa che difficilmente può essere recuperata, il tempo, diventa essa stessa da strumento a componente del valore generato dall’ente pubblico nell’assolvere la propria funzione.</w:t>
      </w:r>
    </w:p>
    <w:p w14:paraId="664A0396" w14:textId="168AFD66" w:rsidR="00E27519" w:rsidRDefault="00E27519">
      <w:pPr>
        <w:pStyle w:val="Corpodeltesto"/>
        <w:spacing w:before="120" w:after="0"/>
        <w:jc w:val="both"/>
        <w:rPr>
          <w:sz w:val="20"/>
        </w:rPr>
      </w:pPr>
    </w:p>
    <w:p w14:paraId="40788422" w14:textId="77777777" w:rsidR="00E27519" w:rsidRDefault="00E27519">
      <w:pPr>
        <w:suppressAutoHyphens w:val="0"/>
        <w:spacing w:before="0"/>
        <w:rPr>
          <w:sz w:val="20"/>
        </w:rPr>
      </w:pPr>
    </w:p>
    <w:p w14:paraId="6A71E2BE" w14:textId="6D27EE25" w:rsidR="00E27519" w:rsidRDefault="0003178C">
      <w:pPr>
        <w:suppressAutoHyphens w:val="0"/>
        <w:spacing w:before="0"/>
        <w:rPr>
          <w:b/>
          <w:sz w:val="20"/>
        </w:rPr>
      </w:pPr>
      <w:r>
        <w:rPr>
          <w:b/>
          <w:sz w:val="20"/>
        </w:rPr>
        <w:t>Il modello organizzativo come strumento per il perseguimento dei fini di Istituto: il Modello Organizzativo dello Staff della Direzione Strategica</w:t>
      </w:r>
    </w:p>
    <w:p w14:paraId="2E147D6C" w14:textId="723A6E74" w:rsidR="00E27519" w:rsidRDefault="0003178C">
      <w:pPr>
        <w:pStyle w:val="Corpodeltesto"/>
        <w:spacing w:before="120" w:after="0"/>
        <w:jc w:val="both"/>
        <w:rPr>
          <w:sz w:val="20"/>
        </w:rPr>
      </w:pPr>
      <w:r>
        <w:rPr>
          <w:sz w:val="20"/>
        </w:rPr>
        <w:t>Con la Delibera n. 025 del 29 febbraio 2016 si è provveduto alla revoca di parte del precedente manuale organizzativo, alla riorganizzazione delle strutture di staff e alla creazione di un unico modello a servizio della intera Direzione Strategica.</w:t>
      </w:r>
      <w:r w:rsidR="009652B9">
        <w:rPr>
          <w:sz w:val="20"/>
        </w:rPr>
        <w:t xml:space="preserve"> </w:t>
      </w:r>
      <w:r>
        <w:rPr>
          <w:sz w:val="20"/>
        </w:rPr>
        <w:t xml:space="preserve">Il modello organizzativo è stato disegnato per poter al meglio procedere al raggiungimento della mission aziendale, </w:t>
      </w:r>
      <w:r w:rsidR="009652B9">
        <w:rPr>
          <w:sz w:val="20"/>
        </w:rPr>
        <w:t>basato</w:t>
      </w:r>
      <w:r>
        <w:rPr>
          <w:sz w:val="20"/>
        </w:rPr>
        <w:t xml:space="preserve"> sul valore del lavoro in team  e della contaminazione professionale. L’incontro di diversi saperi unito al cambiamento di cultura aziendale dove ogni persona risponde alla creazione di un servizio per il cittadino, è potenzialmente generatore di ulteriore valore. I precedenti 3 diversi segmenti dello staff afferenti alle direzioni Generale, Amministrative e Sanitaria, sono stati integrati in un unico modello a matrice, che abbandona la struttura a “Silos” e formalizza l’idea della trasversalità degli obiettivi e del lavoro per realizzarli.  </w:t>
      </w:r>
    </w:p>
    <w:p w14:paraId="4F255777" w14:textId="35755FD2" w:rsidR="009652B9" w:rsidRDefault="009652B9">
      <w:pPr>
        <w:pStyle w:val="Corpodeltesto"/>
        <w:spacing w:before="120" w:after="0"/>
        <w:jc w:val="both"/>
        <w:rPr>
          <w:sz w:val="20"/>
        </w:rPr>
      </w:pPr>
      <w:r>
        <w:rPr>
          <w:noProof/>
          <w:sz w:val="20"/>
          <w:lang w:eastAsia="it-IT" w:bidi="ar-SA"/>
        </w:rPr>
        <w:drawing>
          <wp:inline distT="0" distB="0" distL="0" distR="0" wp14:anchorId="3E536039" wp14:editId="2AB8A5FE">
            <wp:extent cx="6646269" cy="3714750"/>
            <wp:effectExtent l="0" t="0" r="254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9285" cy="3716436"/>
                    </a:xfrm>
                    <a:prstGeom prst="rect">
                      <a:avLst/>
                    </a:prstGeom>
                    <a:noFill/>
                  </pic:spPr>
                </pic:pic>
              </a:graphicData>
            </a:graphic>
          </wp:inline>
        </w:drawing>
      </w:r>
    </w:p>
    <w:p w14:paraId="4326D641" w14:textId="77777777" w:rsidR="009652B9" w:rsidRDefault="0003178C">
      <w:pPr>
        <w:pStyle w:val="Corpodeltesto"/>
        <w:spacing w:before="120" w:after="0"/>
        <w:jc w:val="both"/>
        <w:rPr>
          <w:sz w:val="20"/>
        </w:rPr>
      </w:pPr>
      <w:r>
        <w:rPr>
          <w:sz w:val="20"/>
        </w:rPr>
        <w:t xml:space="preserve">La trasformazione della Direzione delle Professioni Sanitarie (DPS) in struttura complessa che opera in stretta collaborazione con la Direzione Sanitaria e con la Direzione Amministrativa vuole evidenziare il superamento della dipendenza gerarchica fra le professioni testimoniando </w:t>
      </w:r>
      <w:r w:rsidR="009652B9">
        <w:rPr>
          <w:sz w:val="20"/>
        </w:rPr>
        <w:t>a tutti i livelli, la necessità</w:t>
      </w:r>
      <w:r>
        <w:rPr>
          <w:sz w:val="20"/>
        </w:rPr>
        <w:t xml:space="preserve"> di conciliare le esigenze delle professioni rispetto agli scopi che devono essere raggiunti. </w:t>
      </w:r>
    </w:p>
    <w:p w14:paraId="5CB4AF40" w14:textId="77777777" w:rsidR="009652B9" w:rsidRDefault="009652B9">
      <w:pPr>
        <w:pStyle w:val="Corpodeltesto"/>
        <w:spacing w:before="120" w:after="0"/>
        <w:jc w:val="both"/>
        <w:rPr>
          <w:sz w:val="20"/>
        </w:rPr>
      </w:pPr>
    </w:p>
    <w:p w14:paraId="1AB41241" w14:textId="77777777" w:rsidR="009652B9" w:rsidRDefault="009652B9">
      <w:pPr>
        <w:pStyle w:val="Corpodeltesto"/>
        <w:spacing w:before="120" w:after="0"/>
        <w:jc w:val="both"/>
        <w:rPr>
          <w:sz w:val="20"/>
        </w:rPr>
      </w:pPr>
    </w:p>
    <w:p w14:paraId="092CFF97" w14:textId="309E8DA7" w:rsidR="00673833" w:rsidRDefault="00673833">
      <w:pPr>
        <w:suppressAutoHyphens w:val="0"/>
        <w:spacing w:before="0"/>
        <w:rPr>
          <w:sz w:val="20"/>
        </w:rPr>
      </w:pPr>
      <w:r>
        <w:rPr>
          <w:sz w:val="20"/>
        </w:rPr>
        <w:br w:type="page"/>
      </w:r>
    </w:p>
    <w:p w14:paraId="4DAD0726" w14:textId="77777777" w:rsidR="009652B9" w:rsidRDefault="009652B9">
      <w:pPr>
        <w:pStyle w:val="Corpodeltesto"/>
        <w:spacing w:before="120" w:after="0"/>
        <w:jc w:val="both"/>
        <w:rPr>
          <w:sz w:val="20"/>
        </w:rPr>
      </w:pPr>
    </w:p>
    <w:p w14:paraId="20A840BB" w14:textId="43F658AD" w:rsidR="00E27519" w:rsidRDefault="0003178C">
      <w:pPr>
        <w:pStyle w:val="Corpodeltesto"/>
        <w:spacing w:before="120" w:after="0"/>
        <w:jc w:val="both"/>
        <w:rPr>
          <w:b/>
          <w:sz w:val="20"/>
        </w:rPr>
      </w:pPr>
      <w:r>
        <w:rPr>
          <w:b/>
          <w:sz w:val="20"/>
        </w:rPr>
        <w:t>Principali risultati conseguiti nel corso del 2016</w:t>
      </w:r>
    </w:p>
    <w:p w14:paraId="71C806AB" w14:textId="4A0DDAC3" w:rsidR="00E27519" w:rsidRDefault="0003178C">
      <w:pPr>
        <w:pStyle w:val="Corpodeltesto"/>
        <w:spacing w:before="120" w:after="0"/>
        <w:jc w:val="both"/>
        <w:rPr>
          <w:sz w:val="20"/>
        </w:rPr>
      </w:pPr>
      <w:r>
        <w:rPr>
          <w:sz w:val="20"/>
        </w:rPr>
        <w:t>Nell’immagine di seguito una sintesi dei principali risultati conseguiti nel 2016.</w:t>
      </w:r>
    </w:p>
    <w:p w14:paraId="21B4CBEE" w14:textId="77777777" w:rsidR="00E27519" w:rsidRDefault="00E27519">
      <w:pPr>
        <w:pStyle w:val="Corpodeltesto"/>
        <w:spacing w:before="120" w:after="0"/>
        <w:jc w:val="both"/>
        <w:rPr>
          <w:b/>
          <w:color w:val="FFC000"/>
          <w:sz w:val="28"/>
        </w:rPr>
      </w:pPr>
    </w:p>
    <w:p w14:paraId="30001C0A" w14:textId="77777777" w:rsidR="00E27519" w:rsidRDefault="0003178C">
      <w:pPr>
        <w:pStyle w:val="Corpodeltesto"/>
        <w:spacing w:before="120" w:after="0"/>
        <w:jc w:val="both"/>
        <w:rPr>
          <w:b/>
          <w:color w:val="FFC000"/>
          <w:sz w:val="28"/>
        </w:rPr>
      </w:pPr>
      <w:r>
        <w:rPr>
          <w:b/>
          <w:noProof/>
          <w:color w:val="FFC000"/>
          <w:sz w:val="28"/>
          <w:lang w:eastAsia="it-IT" w:bidi="ar-SA"/>
        </w:rPr>
        <w:drawing>
          <wp:inline distT="0" distB="0" distL="0" distR="0" wp14:anchorId="3E15E360" wp14:editId="68C09E0F">
            <wp:extent cx="6471285" cy="3613785"/>
            <wp:effectExtent l="0" t="0" r="5715"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471285" cy="3613785"/>
                    </a:xfrm>
                    <a:prstGeom prst="rect">
                      <a:avLst/>
                    </a:prstGeom>
                    <a:noFill/>
                    <a:ln>
                      <a:noFill/>
                    </a:ln>
                  </pic:spPr>
                </pic:pic>
              </a:graphicData>
            </a:graphic>
          </wp:inline>
        </w:drawing>
      </w:r>
    </w:p>
    <w:p w14:paraId="0F40766A" w14:textId="77777777" w:rsidR="00E27519" w:rsidRDefault="00E27519">
      <w:pPr>
        <w:suppressAutoHyphens w:val="0"/>
        <w:spacing w:before="0"/>
        <w:rPr>
          <w:rFonts w:ascii="Cambria" w:hAnsi="Cambria" w:cs="Cambria"/>
          <w:b/>
          <w:smallCaps/>
          <w:sz w:val="26"/>
        </w:rPr>
      </w:pPr>
    </w:p>
    <w:p w14:paraId="1E55EB45" w14:textId="77777777" w:rsidR="009652B9" w:rsidRDefault="009652B9">
      <w:pPr>
        <w:suppressAutoHyphens w:val="0"/>
        <w:spacing w:before="0"/>
        <w:rPr>
          <w:rFonts w:ascii="Cambria" w:hAnsi="Cambria" w:cs="Cambria"/>
          <w:b/>
          <w:smallCaps/>
          <w:sz w:val="26"/>
        </w:rPr>
      </w:pPr>
    </w:p>
    <w:p w14:paraId="612F7E5F" w14:textId="77777777" w:rsidR="009652B9" w:rsidRDefault="009652B9">
      <w:pPr>
        <w:suppressAutoHyphens w:val="0"/>
        <w:spacing w:before="0"/>
        <w:rPr>
          <w:rFonts w:ascii="Cambria" w:hAnsi="Cambria" w:cs="Cambria"/>
          <w:b/>
          <w:smallCaps/>
          <w:sz w:val="26"/>
        </w:rPr>
      </w:pPr>
    </w:p>
    <w:p w14:paraId="370B7EA0" w14:textId="77777777" w:rsidR="00E27519" w:rsidRDefault="0003178C">
      <w:pPr>
        <w:pStyle w:val="Titolo2"/>
        <w:numPr>
          <w:ilvl w:val="1"/>
          <w:numId w:val="6"/>
        </w:numPr>
      </w:pPr>
      <w:bookmarkStart w:id="9" w:name="_Toc486415622"/>
      <w:r>
        <w:t>1 Politiche integrate della promozione e tutela della salute</w:t>
      </w:r>
      <w:bookmarkEnd w:id="9"/>
    </w:p>
    <w:p w14:paraId="4F0589DB" w14:textId="77777777" w:rsidR="00E27519" w:rsidRDefault="0003178C">
      <w:pPr>
        <w:spacing w:before="80"/>
        <w:jc w:val="both"/>
      </w:pPr>
      <w:r>
        <w:rPr>
          <w:sz w:val="20"/>
        </w:rPr>
        <w:t xml:space="preserve">Nel corso del 2016, l’Azienda USL di Modena </w:t>
      </w:r>
      <w:r>
        <w:rPr>
          <w:rFonts w:cs="Mangal"/>
          <w:sz w:val="20"/>
        </w:rPr>
        <w:t xml:space="preserve">ha </w:t>
      </w:r>
      <w:r>
        <w:rPr>
          <w:sz w:val="20"/>
        </w:rPr>
        <w:t xml:space="preserve">promosso diversi interventi di prevenzione su gruppi di popolazione omogenei per fattori di rischio legati all’età, a stili di vita o a condizioni patologiche, garantendo la partecipazione alle fasce più deboli. </w:t>
      </w:r>
    </w:p>
    <w:p w14:paraId="22866636" w14:textId="77777777" w:rsidR="00E27519" w:rsidRDefault="00E27519">
      <w:pPr>
        <w:spacing w:before="0"/>
        <w:jc w:val="both"/>
        <w:rPr>
          <w:rFonts w:asciiTheme="minorHAnsi" w:eastAsia="Calibri" w:hAnsiTheme="minorHAnsi"/>
          <w:b/>
          <w:sz w:val="20"/>
          <w:lang w:eastAsia="en-US"/>
        </w:rPr>
      </w:pPr>
    </w:p>
    <w:p w14:paraId="190BDC51" w14:textId="77777777" w:rsidR="00E27519" w:rsidRDefault="0003178C">
      <w:pPr>
        <w:pStyle w:val="Titolo3Verdana"/>
        <w:rPr>
          <w:rFonts w:asciiTheme="minorHAnsi" w:eastAsia="Calibri" w:hAnsiTheme="minorHAnsi"/>
        </w:rPr>
      </w:pPr>
      <w:bookmarkStart w:id="10" w:name="_Toc486415623"/>
      <w:r>
        <w:rPr>
          <w:rFonts w:asciiTheme="minorHAnsi" w:eastAsia="Calibri" w:hAnsiTheme="minorHAnsi"/>
        </w:rPr>
        <w:t>1.1 Promozione della salute per favorire stili di vita salutari</w:t>
      </w:r>
      <w:bookmarkEnd w:id="10"/>
      <w:r>
        <w:rPr>
          <w:rFonts w:asciiTheme="minorHAnsi" w:eastAsia="Calibri" w:hAnsiTheme="minorHAnsi"/>
        </w:rPr>
        <w:t xml:space="preserve"> </w:t>
      </w:r>
    </w:p>
    <w:p w14:paraId="770FD9D4"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 xml:space="preserve">Nel PRP 2015-18 “le progettualità afferenti al </w:t>
      </w:r>
      <w:proofErr w:type="spellStart"/>
      <w:r>
        <w:rPr>
          <w:rFonts w:asciiTheme="minorHAnsi" w:eastAsia="Calibri" w:hAnsiTheme="minorHAnsi"/>
          <w:sz w:val="20"/>
          <w:lang w:eastAsia="en-US"/>
        </w:rPr>
        <w:t>Setting</w:t>
      </w:r>
      <w:proofErr w:type="spellEnd"/>
      <w:r>
        <w:rPr>
          <w:rFonts w:asciiTheme="minorHAnsi" w:eastAsia="Calibri" w:hAnsiTheme="minorHAnsi"/>
          <w:sz w:val="20"/>
          <w:lang w:eastAsia="en-US"/>
        </w:rPr>
        <w:t xml:space="preserve"> Scuola sono orientate a sostenere un processo di promozione della salute, di prevenzione, ma anche di creazione, nella comunità e nei suoi membri, di un livello di competenza (</w:t>
      </w:r>
      <w:proofErr w:type="spellStart"/>
      <w:r>
        <w:rPr>
          <w:rFonts w:asciiTheme="minorHAnsi" w:eastAsia="Calibri" w:hAnsiTheme="minorHAnsi"/>
          <w:sz w:val="20"/>
          <w:lang w:eastAsia="en-US"/>
        </w:rPr>
        <w:t>empowerment</w:t>
      </w:r>
      <w:proofErr w:type="spellEnd"/>
      <w:r>
        <w:rPr>
          <w:rFonts w:asciiTheme="minorHAnsi" w:eastAsia="Calibri" w:hAnsiTheme="minorHAnsi"/>
          <w:sz w:val="20"/>
          <w:lang w:eastAsia="en-US"/>
        </w:rPr>
        <w:t>) sul miglioramento del benessere psicofisico riconosciuto come uno dei determinanti più efficaci nel promuovere l’adozione di sani stili di vita”. Il programma aziendale di Promozione della Salute, in questa prospettiva, nel 2016 ha:</w:t>
      </w:r>
    </w:p>
    <w:p w14:paraId="36248204" w14:textId="77777777" w:rsidR="00E27519" w:rsidRDefault="0003178C">
      <w:pPr>
        <w:pStyle w:val="Paragrafoelenco2"/>
        <w:numPr>
          <w:ilvl w:val="0"/>
          <w:numId w:val="7"/>
        </w:numPr>
        <w:jc w:val="both"/>
        <w:rPr>
          <w:rFonts w:asciiTheme="minorHAnsi" w:eastAsia="Calibri" w:hAnsiTheme="minorHAnsi"/>
          <w:lang w:eastAsia="en-US"/>
        </w:rPr>
      </w:pPr>
      <w:r>
        <w:rPr>
          <w:rFonts w:asciiTheme="minorHAnsi" w:eastAsia="Calibri" w:hAnsiTheme="minorHAnsi"/>
          <w:lang w:eastAsia="en-US"/>
        </w:rPr>
        <w:t>implementato i progetti monitorati dal PRP - temi di Guadagnare Salute, Affettività e sessualità, Dipendenze  e Sicurezza sul lavoro - rispettando gli indicatori del Piano Locale Attuativo (PLA);</w:t>
      </w:r>
    </w:p>
    <w:p w14:paraId="319CB1CA" w14:textId="77777777" w:rsidR="00E27519" w:rsidRDefault="0003178C">
      <w:pPr>
        <w:pStyle w:val="Paragrafoelenco2"/>
        <w:numPr>
          <w:ilvl w:val="0"/>
          <w:numId w:val="7"/>
        </w:numPr>
        <w:jc w:val="both"/>
        <w:rPr>
          <w:rFonts w:asciiTheme="minorHAnsi" w:eastAsia="Calibri" w:hAnsiTheme="minorHAnsi"/>
          <w:lang w:eastAsia="en-US"/>
        </w:rPr>
      </w:pPr>
      <w:r>
        <w:rPr>
          <w:rFonts w:asciiTheme="minorHAnsi" w:eastAsia="Calibri" w:hAnsiTheme="minorHAnsi"/>
          <w:lang w:eastAsia="en-US"/>
        </w:rPr>
        <w:lastRenderedPageBreak/>
        <w:t>supportato il processo delle scuole verso “scuole che promuovono salute” attraverso la formazione integrata di docenti e personale sanitario;</w:t>
      </w:r>
    </w:p>
    <w:p w14:paraId="635D6028" w14:textId="77777777" w:rsidR="00E27519" w:rsidRDefault="0003178C">
      <w:pPr>
        <w:pStyle w:val="Paragrafoelenco2"/>
        <w:numPr>
          <w:ilvl w:val="0"/>
          <w:numId w:val="7"/>
        </w:numPr>
        <w:jc w:val="both"/>
        <w:rPr>
          <w:rFonts w:asciiTheme="minorHAnsi" w:eastAsia="Calibri" w:hAnsiTheme="minorHAnsi"/>
          <w:lang w:eastAsia="en-US"/>
        </w:rPr>
      </w:pPr>
      <w:r>
        <w:rPr>
          <w:rFonts w:asciiTheme="minorHAnsi" w:eastAsia="Calibri" w:hAnsiTheme="minorHAnsi"/>
          <w:lang w:eastAsia="en-US"/>
        </w:rPr>
        <w:t>coinvolto complessivamente circa 31.000 soggetti (alunni, docenti, personale ATA e genitori) e 1291 classi;</w:t>
      </w:r>
    </w:p>
    <w:p w14:paraId="103ECD34" w14:textId="77777777" w:rsidR="00E27519" w:rsidRDefault="0003178C">
      <w:pPr>
        <w:pStyle w:val="Paragrafoelenco2"/>
        <w:numPr>
          <w:ilvl w:val="0"/>
          <w:numId w:val="7"/>
        </w:numPr>
        <w:jc w:val="both"/>
        <w:rPr>
          <w:rFonts w:asciiTheme="minorHAnsi" w:eastAsia="Calibri" w:hAnsiTheme="minorHAnsi"/>
          <w:lang w:eastAsia="en-US"/>
        </w:rPr>
      </w:pPr>
      <w:r>
        <w:rPr>
          <w:rFonts w:asciiTheme="minorHAnsi" w:eastAsia="Calibri" w:hAnsiTheme="minorHAnsi"/>
          <w:lang w:eastAsia="en-US"/>
        </w:rPr>
        <w:t>promosso la cultura del dono attraverso il progetto “Natale a colori”, coinvolgendo circa 5016 alunni della scuola primaria e dell’infanzia, Case di riposo presenti nei diversi Distretti, Ospedali, Case della Salute e Associazioni di volontariato;</w:t>
      </w:r>
    </w:p>
    <w:p w14:paraId="5453023B"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I progetti di comunità su finanziamento regionale “Giovani e Salute” e Montagne di Salute”, che hanno coinvolto la comunità di Mirandola e alcuni Comuni montani (Pavullo, Guiglia, Montese e Zocca) distribuiti su due Distretti – Pavullo e Vignola - sono stati portati a termini. In questa progettualità si inseriscono la realizzazione:</w:t>
      </w:r>
    </w:p>
    <w:p w14:paraId="0F897012" w14:textId="77777777" w:rsidR="00E27519" w:rsidRDefault="0003178C">
      <w:pPr>
        <w:pStyle w:val="Paragrafoelenco2"/>
        <w:numPr>
          <w:ilvl w:val="0"/>
          <w:numId w:val="8"/>
        </w:numPr>
        <w:jc w:val="both"/>
        <w:rPr>
          <w:rFonts w:asciiTheme="minorHAnsi" w:eastAsia="Calibri" w:hAnsiTheme="minorHAnsi"/>
          <w:lang w:eastAsia="en-US"/>
        </w:rPr>
      </w:pPr>
      <w:r>
        <w:rPr>
          <w:rFonts w:asciiTheme="minorHAnsi" w:eastAsia="Calibri" w:hAnsiTheme="minorHAnsi"/>
          <w:lang w:eastAsia="en-US"/>
        </w:rPr>
        <w:t>della Festa annuale di Nati per leggere a Pavullo che ha coinvolto Enti Locali; Biblioteche, Pediatri di Libera Scelta;</w:t>
      </w:r>
    </w:p>
    <w:p w14:paraId="269D25D4" w14:textId="77777777" w:rsidR="00E27519" w:rsidRDefault="0003178C">
      <w:pPr>
        <w:pStyle w:val="Paragrafoelenco2"/>
        <w:numPr>
          <w:ilvl w:val="0"/>
          <w:numId w:val="8"/>
        </w:numPr>
        <w:jc w:val="both"/>
        <w:rPr>
          <w:rFonts w:asciiTheme="minorHAnsi" w:eastAsia="Calibri" w:hAnsiTheme="minorHAnsi"/>
          <w:lang w:eastAsia="en-US"/>
        </w:rPr>
      </w:pPr>
      <w:r>
        <w:rPr>
          <w:rFonts w:asciiTheme="minorHAnsi" w:eastAsia="Calibri" w:hAnsiTheme="minorHAnsi"/>
          <w:lang w:eastAsia="en-US"/>
        </w:rPr>
        <w:t>dell’adesivo “Qui puoi allattare” condiviso con gli esercenti da esporre nei negozi di Pavullo;</w:t>
      </w:r>
    </w:p>
    <w:p w14:paraId="75C0EDD6" w14:textId="77777777" w:rsidR="00E27519" w:rsidRDefault="0003178C">
      <w:pPr>
        <w:pStyle w:val="Paragrafoelenco2"/>
        <w:numPr>
          <w:ilvl w:val="0"/>
          <w:numId w:val="8"/>
        </w:numPr>
        <w:jc w:val="both"/>
        <w:rPr>
          <w:rFonts w:asciiTheme="minorHAnsi" w:eastAsia="Calibri" w:hAnsiTheme="minorHAnsi"/>
          <w:lang w:eastAsia="en-US"/>
        </w:rPr>
      </w:pPr>
      <w:r>
        <w:rPr>
          <w:rFonts w:asciiTheme="minorHAnsi" w:eastAsia="Calibri" w:hAnsiTheme="minorHAnsi"/>
          <w:lang w:eastAsia="en-US"/>
        </w:rPr>
        <w:t>di cartelli che promuovono sani stili di vita (alimentazione, movimento, fumo e alcol) sui sentieri classificati come agibili per tutti.</w:t>
      </w:r>
    </w:p>
    <w:p w14:paraId="057110F3"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 xml:space="preserve">Sono continuate le attività per la sensibilizzazione e informazione sull’AIDS (sono state fornite 1894 risposte a tutti i quesiti online posti dai cittadini e sono state registrate 349.206 visite al sito web) e, in materia di iniziative contro il fumo, è stato ribandito il Concorso “Scommetti che smetti?”, giunto alla sua XI edizione, che ha premiato 30 vincitori su 290 partecipanti. Tra le novità di quest'anno del concorso - organizzato in collaborazione con più di 30 partner di tutto il territorio della provincia - un progetto sperimentale dedicato interamente alle scuole e l'utilizzo delle piattaforme di comunicazione digitali aziendali (Facebook, Twitter, YouTube, </w:t>
      </w:r>
      <w:proofErr w:type="spellStart"/>
      <w:r>
        <w:rPr>
          <w:rFonts w:asciiTheme="minorHAnsi" w:eastAsia="Calibri" w:hAnsiTheme="minorHAnsi"/>
          <w:sz w:val="20"/>
          <w:lang w:eastAsia="en-US"/>
        </w:rPr>
        <w:t>App</w:t>
      </w:r>
      <w:proofErr w:type="spellEnd"/>
      <w:r>
        <w:rPr>
          <w:rFonts w:asciiTheme="minorHAnsi" w:eastAsia="Calibri" w:hAnsiTheme="minorHAnsi"/>
          <w:sz w:val="20"/>
          <w:lang w:eastAsia="en-US"/>
        </w:rPr>
        <w:t xml:space="preserve"> </w:t>
      </w:r>
      <w:proofErr w:type="spellStart"/>
      <w:r>
        <w:rPr>
          <w:rFonts w:asciiTheme="minorHAnsi" w:eastAsia="Calibri" w:hAnsiTheme="minorHAnsi"/>
          <w:sz w:val="20"/>
          <w:lang w:eastAsia="en-US"/>
        </w:rPr>
        <w:t>MyAUSL</w:t>
      </w:r>
      <w:proofErr w:type="spellEnd"/>
      <w:r>
        <w:rPr>
          <w:rFonts w:asciiTheme="minorHAnsi" w:eastAsia="Calibri" w:hAnsiTheme="minorHAnsi"/>
          <w:sz w:val="20"/>
          <w:lang w:eastAsia="en-US"/>
        </w:rPr>
        <w:t>, Sito Web), per promuovere il concorso e sensibilizzare il grande pubblico sul tema della lotta al tabagismo.</w:t>
      </w:r>
    </w:p>
    <w:p w14:paraId="5DA3E476" w14:textId="77777777" w:rsidR="00E27519" w:rsidRDefault="00E27519">
      <w:pPr>
        <w:spacing w:before="0"/>
        <w:jc w:val="both"/>
        <w:rPr>
          <w:rFonts w:eastAsia="Calibri"/>
          <w:sz w:val="20"/>
          <w:highlight w:val="yellow"/>
          <w:lang w:eastAsia="en-US"/>
        </w:rPr>
      </w:pPr>
    </w:p>
    <w:p w14:paraId="738066D2"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 xml:space="preserve">Per quanto riguarda il contrasto alla violenza è stato effettuato l’invio dell'ultima </w:t>
      </w:r>
      <w:proofErr w:type="spellStart"/>
      <w:r>
        <w:rPr>
          <w:rFonts w:asciiTheme="minorHAnsi" w:eastAsia="Calibri" w:hAnsiTheme="minorHAnsi"/>
          <w:sz w:val="20"/>
          <w:lang w:eastAsia="en-US"/>
        </w:rPr>
        <w:t>check</w:t>
      </w:r>
      <w:proofErr w:type="spellEnd"/>
      <w:r>
        <w:rPr>
          <w:rFonts w:asciiTheme="minorHAnsi" w:eastAsia="Calibri" w:hAnsiTheme="minorHAnsi"/>
          <w:sz w:val="20"/>
          <w:lang w:eastAsia="en-US"/>
        </w:rPr>
        <w:t>-list regionale compilata (novembre-dicembre 2016), in applicazione della DGR 1677/13. È stato deliberato, con delibera n. 5 del 24 marzo 2017 della CTSS di Modena: "Nuovo protocollo interistituzionale per la tutela dei minori in situazioni di disagio, sospetto abuso e maltrattamento", applicazione DGR 1102/14. Sono stati realizzati 4 interventi formativi per complessive 6 edizioni:</w:t>
      </w:r>
    </w:p>
    <w:p w14:paraId="1FF56BF8" w14:textId="77777777" w:rsidR="00E27519" w:rsidRDefault="0003178C">
      <w:pPr>
        <w:pStyle w:val="Paragrafoelenco2"/>
        <w:numPr>
          <w:ilvl w:val="0"/>
          <w:numId w:val="9"/>
        </w:numPr>
        <w:jc w:val="both"/>
        <w:rPr>
          <w:rFonts w:asciiTheme="minorHAnsi" w:eastAsia="Calibri" w:hAnsiTheme="minorHAnsi"/>
          <w:lang w:eastAsia="en-US"/>
        </w:rPr>
      </w:pPr>
      <w:r>
        <w:rPr>
          <w:rFonts w:asciiTheme="minorHAnsi" w:eastAsia="Calibri" w:hAnsiTheme="minorHAnsi" w:cs="Calibri"/>
          <w:lang w:eastAsia="en-US" w:bidi="hi-IN"/>
        </w:rPr>
        <w:t xml:space="preserve">Il trattamento degli autori di violenza di genere e </w:t>
      </w:r>
      <w:proofErr w:type="spellStart"/>
      <w:r>
        <w:rPr>
          <w:rFonts w:asciiTheme="minorHAnsi" w:eastAsia="Calibri" w:hAnsiTheme="minorHAnsi" w:cs="Calibri"/>
          <w:lang w:eastAsia="en-US" w:bidi="hi-IN"/>
        </w:rPr>
        <w:t>intrafamiliare</w:t>
      </w:r>
      <w:proofErr w:type="spellEnd"/>
      <w:r>
        <w:rPr>
          <w:rFonts w:asciiTheme="minorHAnsi" w:eastAsia="Calibri" w:hAnsiTheme="minorHAnsi" w:cs="Calibri"/>
          <w:lang w:eastAsia="en-US" w:bidi="hi-IN"/>
        </w:rPr>
        <w:t>: Il lavoro nei gruppi terapeutici secondo il modello delle 24 settimane predisposto da centro ATV di Oslo;</w:t>
      </w:r>
    </w:p>
    <w:p w14:paraId="253BCF4E" w14:textId="77777777" w:rsidR="00E27519" w:rsidRDefault="0003178C">
      <w:pPr>
        <w:pStyle w:val="Paragrafoelenco2"/>
        <w:numPr>
          <w:ilvl w:val="0"/>
          <w:numId w:val="9"/>
        </w:numPr>
        <w:jc w:val="both"/>
        <w:rPr>
          <w:rFonts w:asciiTheme="minorHAnsi" w:eastAsia="Calibri" w:hAnsiTheme="minorHAnsi"/>
          <w:lang w:eastAsia="en-US"/>
        </w:rPr>
      </w:pPr>
      <w:r>
        <w:rPr>
          <w:rFonts w:asciiTheme="minorHAnsi" w:eastAsia="Calibri" w:hAnsiTheme="minorHAnsi"/>
          <w:lang w:eastAsia="en-US"/>
        </w:rPr>
        <w:t>Coordinamento regionale contrasto violenza sui minori anno 2016 (formazione sul campo);</w:t>
      </w:r>
    </w:p>
    <w:p w14:paraId="028C9E62" w14:textId="77777777" w:rsidR="00E27519" w:rsidRDefault="0003178C">
      <w:pPr>
        <w:pStyle w:val="Paragrafoelenco2"/>
        <w:numPr>
          <w:ilvl w:val="0"/>
          <w:numId w:val="9"/>
        </w:numPr>
        <w:jc w:val="both"/>
        <w:rPr>
          <w:rFonts w:asciiTheme="minorHAnsi" w:eastAsia="Calibri" w:hAnsiTheme="minorHAnsi"/>
          <w:lang w:eastAsia="en-US"/>
        </w:rPr>
      </w:pPr>
      <w:r>
        <w:rPr>
          <w:rFonts w:asciiTheme="minorHAnsi" w:eastAsia="Calibri" w:hAnsiTheme="minorHAnsi"/>
          <w:lang w:eastAsia="en-US"/>
        </w:rPr>
        <w:t xml:space="preserve">Trattamento per uomini autori di violenza di genere e </w:t>
      </w:r>
      <w:proofErr w:type="spellStart"/>
      <w:r>
        <w:rPr>
          <w:rFonts w:asciiTheme="minorHAnsi" w:eastAsia="Calibri" w:hAnsiTheme="minorHAnsi"/>
          <w:lang w:eastAsia="en-US"/>
        </w:rPr>
        <w:t>intrafamiliare</w:t>
      </w:r>
      <w:proofErr w:type="spellEnd"/>
      <w:r>
        <w:rPr>
          <w:rFonts w:asciiTheme="minorHAnsi" w:eastAsia="Calibri" w:hAnsiTheme="minorHAnsi"/>
          <w:lang w:eastAsia="en-US"/>
        </w:rPr>
        <w:t>: supervisione dei casi clinici complessi anno 2016;</w:t>
      </w:r>
    </w:p>
    <w:p w14:paraId="67A4CE2C" w14:textId="77777777" w:rsidR="00E27519" w:rsidRDefault="0003178C">
      <w:pPr>
        <w:pStyle w:val="Paragrafoelenco2"/>
        <w:numPr>
          <w:ilvl w:val="0"/>
          <w:numId w:val="9"/>
        </w:numPr>
        <w:jc w:val="both"/>
        <w:rPr>
          <w:rFonts w:asciiTheme="minorHAnsi" w:eastAsia="Calibri" w:hAnsiTheme="minorHAnsi"/>
          <w:lang w:eastAsia="en-US"/>
        </w:rPr>
      </w:pPr>
      <w:r>
        <w:rPr>
          <w:rFonts w:asciiTheme="minorHAnsi" w:eastAsia="Calibri" w:hAnsiTheme="minorHAnsi"/>
          <w:lang w:eastAsia="en-US"/>
        </w:rPr>
        <w:t>La violenza domestica in gravidanza.</w:t>
      </w:r>
    </w:p>
    <w:p w14:paraId="38864D25" w14:textId="77777777" w:rsidR="00E27519" w:rsidRDefault="00E27519">
      <w:pPr>
        <w:jc w:val="both"/>
        <w:rPr>
          <w:rFonts w:eastAsia="Calibri"/>
          <w:lang w:eastAsia="en-US"/>
        </w:rPr>
      </w:pPr>
    </w:p>
    <w:p w14:paraId="134A6926" w14:textId="77777777" w:rsidR="00E27519" w:rsidRDefault="0003178C">
      <w:pPr>
        <w:spacing w:before="0"/>
        <w:jc w:val="both"/>
        <w:rPr>
          <w:rFonts w:eastAsia="Calibri"/>
          <w:sz w:val="20"/>
          <w:lang w:eastAsia="en-US"/>
        </w:rPr>
      </w:pPr>
      <w:r>
        <w:rPr>
          <w:rFonts w:eastAsia="Calibri"/>
          <w:sz w:val="20"/>
          <w:lang w:eastAsia="en-US"/>
        </w:rPr>
        <w:t xml:space="preserve">All’interno del protocollo aziendale screening "violenza domestica in gravidanza" è stata completata la formazione dei professionisti e delle mediatrici dell'Area Sud e Nord (Area Centro era già stata formata); avviato inoltre lo screening in tutta la Provincia. In merito ai protocolli per minori in condizione di violenza assistita (PS; servizi sociali; associazione donne contro la violenza); Protocolli distrettuali tra l’Azienda USL di Modena ed enti locali; è stata avviata la diffusione del percorso formativo LTP (valutazione relazioni familiari), diffusione strumenti clinici di valutazione del trauma del minore; </w:t>
      </w:r>
    </w:p>
    <w:p w14:paraId="28B08F14" w14:textId="77777777" w:rsidR="00E27519" w:rsidRDefault="0003178C">
      <w:pPr>
        <w:spacing w:before="0"/>
        <w:jc w:val="both"/>
        <w:rPr>
          <w:rFonts w:eastAsia="Calibri"/>
          <w:sz w:val="20"/>
          <w:lang w:eastAsia="en-US"/>
        </w:rPr>
      </w:pPr>
      <w:r>
        <w:rPr>
          <w:rFonts w:eastAsia="Calibri"/>
          <w:sz w:val="20"/>
          <w:lang w:eastAsia="en-US"/>
        </w:rPr>
        <w:t>Esiste una procedura dell'abuso su minori che è dell'AOU Policlinico di Modena alla quale partecipa anche l'AUSL di Modena</w:t>
      </w:r>
    </w:p>
    <w:p w14:paraId="186DB58E" w14:textId="77777777" w:rsidR="00E27519" w:rsidRDefault="0003178C">
      <w:pPr>
        <w:spacing w:before="0"/>
        <w:jc w:val="both"/>
        <w:rPr>
          <w:rFonts w:eastAsia="Calibri"/>
          <w:sz w:val="20"/>
          <w:lang w:eastAsia="en-US"/>
        </w:rPr>
      </w:pPr>
      <w:r>
        <w:rPr>
          <w:rFonts w:eastAsia="Calibri"/>
          <w:sz w:val="20"/>
          <w:lang w:eastAsia="en-US"/>
        </w:rPr>
        <w:t>Sono state avviate delle interviste strutturate a tutte le donne in gravidanza presso i consultori familiari; sono stati programmati degli incontri di riprogettazione e verifica; sono in fase di applicazione dei protocolli territoriali di formazione specifica degli psicologi a livello aziendale.</w:t>
      </w:r>
    </w:p>
    <w:p w14:paraId="43DAC068" w14:textId="77777777" w:rsidR="00E27519" w:rsidRDefault="00E27519">
      <w:pPr>
        <w:spacing w:before="0"/>
        <w:jc w:val="both"/>
        <w:rPr>
          <w:rFonts w:eastAsia="Calibri"/>
          <w:sz w:val="20"/>
          <w:lang w:eastAsia="en-US"/>
        </w:rPr>
      </w:pPr>
    </w:p>
    <w:p w14:paraId="3A143BFC" w14:textId="77777777" w:rsidR="00E27519" w:rsidRDefault="0003178C">
      <w:pPr>
        <w:spacing w:before="0"/>
        <w:jc w:val="both"/>
        <w:rPr>
          <w:rFonts w:eastAsia="Calibri"/>
          <w:sz w:val="20"/>
          <w:lang w:eastAsia="en-US"/>
        </w:rPr>
      </w:pPr>
      <w:r>
        <w:rPr>
          <w:rFonts w:eastAsia="Calibri"/>
          <w:sz w:val="20"/>
          <w:lang w:eastAsia="en-US"/>
        </w:rPr>
        <w:lastRenderedPageBreak/>
        <w:t>Per quanto riguarda la Promozione della salute in adolescenza, nel 2016 è aumentata la percentuale di adolescenti raggiunti dagli interventi di promozione alla salute e sessualità su popolazione target (14-19 anni), +3,7% rispetto al 2015. Sono 8.373 i ragazzi dell’anno scolastico 2015-2016 vs 8.074 dell’anno scolastico 2014-2015. Al dato 2016 vanno aggiunti 100 ragazzi in peer multiculturale (dato non rendicontato in regione) per un totale di 8.473 ragazzi. Inoltre, sono in corso delle attività di promozione di un progetto di peer multiculturale e diffusione dell'esperienza a tutti gli interventi di peer, effettuando, entro il 2017, la formazione di tutti i professionisti coinvolti nella peer education.</w:t>
      </w:r>
    </w:p>
    <w:p w14:paraId="354E0319" w14:textId="77777777" w:rsidR="00E27519" w:rsidRDefault="00E27519">
      <w:pPr>
        <w:spacing w:before="0"/>
        <w:jc w:val="both"/>
        <w:rPr>
          <w:rFonts w:eastAsia="Calibri"/>
          <w:b/>
          <w:sz w:val="20"/>
          <w:lang w:eastAsia="en-US"/>
        </w:rPr>
      </w:pPr>
    </w:p>
    <w:p w14:paraId="0CD993AD" w14:textId="77777777" w:rsidR="00E27519" w:rsidRDefault="0003178C">
      <w:pPr>
        <w:pStyle w:val="Titolo3Verdana"/>
        <w:rPr>
          <w:rFonts w:asciiTheme="minorHAnsi" w:eastAsia="Calibri" w:hAnsiTheme="minorHAnsi"/>
        </w:rPr>
      </w:pPr>
      <w:bookmarkStart w:id="11" w:name="_Toc486415624"/>
      <w:r>
        <w:rPr>
          <w:rFonts w:asciiTheme="minorHAnsi" w:eastAsia="Calibri" w:hAnsiTheme="minorHAnsi"/>
        </w:rPr>
        <w:t>1.2 Programmi di prevenzione e diagnosi precoce oncologica</w:t>
      </w:r>
      <w:bookmarkEnd w:id="11"/>
    </w:p>
    <w:p w14:paraId="1203132A" w14:textId="77777777" w:rsidR="00E27519" w:rsidRDefault="0003178C">
      <w:pPr>
        <w:spacing w:before="0"/>
        <w:jc w:val="both"/>
        <w:rPr>
          <w:rFonts w:eastAsia="Calibri"/>
          <w:sz w:val="20"/>
          <w:lang w:eastAsia="en-US"/>
        </w:rPr>
      </w:pPr>
      <w:r>
        <w:rPr>
          <w:rFonts w:eastAsia="Calibri"/>
          <w:sz w:val="20"/>
          <w:lang w:eastAsia="en-US"/>
        </w:rPr>
        <w:t xml:space="preserve">I programmi di screening, nel 2016, hanno mantenuto con regolarità una buona copertura degli inviti alla popolazione nelle fasce di età interessate.  Rispetto alla popolazione “target”, l’estensione di inviti ad effettuare gli screening è stata pari al 98,5% per lo Screening Colon Retto (RER 93,4%), 99,7% per lo Screening dell’Utero (RER 98,8%). I dati sono leggermente diversi per quanto riguarda lo Screening Mammografico che mostra un’estensione del 79% per le donne con età compresa tra i 45 e i 49 anni (RER 97%), del 90% per le donne con età compresa tra i 50 e i 69 anni (RER 96%) e del 89% per le donne con età compresa tra i 70 e i 74 anni (RER 97%). </w:t>
      </w:r>
    </w:p>
    <w:p w14:paraId="1B02F865" w14:textId="77777777" w:rsidR="00E27519" w:rsidRDefault="00E27519">
      <w:pPr>
        <w:spacing w:before="0"/>
        <w:jc w:val="both"/>
        <w:rPr>
          <w:rFonts w:eastAsia="Calibri"/>
          <w:sz w:val="20"/>
          <w:lang w:eastAsia="en-US"/>
        </w:rPr>
      </w:pPr>
    </w:p>
    <w:p w14:paraId="5BFFEEC4" w14:textId="77777777" w:rsidR="00E27519" w:rsidRDefault="0003178C">
      <w:pPr>
        <w:spacing w:before="0"/>
        <w:jc w:val="both"/>
        <w:rPr>
          <w:rFonts w:eastAsia="Calibri"/>
          <w:sz w:val="20"/>
          <w:lang w:eastAsia="en-US"/>
        </w:rPr>
      </w:pPr>
      <w:r>
        <w:rPr>
          <w:rFonts w:eastAsia="Calibri"/>
          <w:sz w:val="20"/>
          <w:lang w:eastAsia="en-US"/>
        </w:rPr>
        <w:t>In termini di adesione agli inviti, la rilevazione al 31/12/16 della RER mostra un cambiamento di tendenza. Per lo screening Colon Retto la percentuale di adesione è stata pari al 54,7% (RER 55,1%), per lo Screening dell’Utero è stata pari al 69,1% (RER 60,6%), per lo Screening Mammografico l’adesione è stata pari al 75% per le donne con età compresa tra i 45 e i 49 anni (RER 69%), 75% per le donne con età compresa tra i 50 e i 69 anni (RER 74%), 77% per le donne con età compresa tra i 70 e i 74 anni (RER 73%).</w:t>
      </w:r>
    </w:p>
    <w:p w14:paraId="0477B843" w14:textId="77777777" w:rsidR="00E27519" w:rsidRDefault="0003178C">
      <w:pPr>
        <w:spacing w:before="0"/>
        <w:jc w:val="both"/>
        <w:rPr>
          <w:rFonts w:eastAsia="Calibri"/>
          <w:sz w:val="20"/>
          <w:lang w:eastAsia="en-US"/>
        </w:rPr>
      </w:pPr>
      <w:r>
        <w:rPr>
          <w:rFonts w:eastAsia="Calibri"/>
          <w:sz w:val="20"/>
          <w:lang w:eastAsia="en-US"/>
        </w:rPr>
        <w:t>I dati di accesso alle fasi successive, quando necessarie, indicano nel caso dello screening mammografico qualche difficoltà, la cui soluzione è stata tempestivamente avviata fin dai primi mesi del 2017.</w:t>
      </w:r>
    </w:p>
    <w:p w14:paraId="7FE49AC2" w14:textId="77777777" w:rsidR="00E27519" w:rsidRDefault="00E27519">
      <w:pPr>
        <w:spacing w:before="0"/>
        <w:jc w:val="both"/>
        <w:rPr>
          <w:rFonts w:eastAsia="Calibri"/>
          <w:sz w:val="20"/>
          <w:lang w:eastAsia="en-US"/>
        </w:rPr>
      </w:pPr>
    </w:p>
    <w:p w14:paraId="0011FC11" w14:textId="77777777" w:rsidR="00E27519" w:rsidRDefault="00E27519">
      <w:pPr>
        <w:spacing w:before="0"/>
        <w:jc w:val="both"/>
        <w:rPr>
          <w:rFonts w:eastAsia="Calibri"/>
          <w:sz w:val="20"/>
          <w:lang w:eastAsia="en-US"/>
        </w:rPr>
      </w:pPr>
    </w:p>
    <w:p w14:paraId="4CFFC7C1" w14:textId="77777777" w:rsidR="00E27519" w:rsidRDefault="0003178C">
      <w:pPr>
        <w:spacing w:before="0"/>
        <w:jc w:val="center"/>
        <w:rPr>
          <w:rFonts w:eastAsia="Calibri"/>
          <w:b/>
          <w:sz w:val="20"/>
          <w:lang w:eastAsia="en-US"/>
        </w:rPr>
      </w:pPr>
      <w:r>
        <w:rPr>
          <w:rFonts w:eastAsia="Calibri"/>
          <w:b/>
          <w:noProof/>
          <w:sz w:val="20"/>
          <w:lang w:eastAsia="it-IT" w:bidi="ar-SA"/>
        </w:rPr>
        <w:drawing>
          <wp:inline distT="0" distB="0" distL="0" distR="0" wp14:anchorId="407C8A87" wp14:editId="04DB3829">
            <wp:extent cx="5009515" cy="2971800"/>
            <wp:effectExtent l="0" t="0" r="635"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9F1E12" w14:textId="77777777" w:rsidR="00E27519" w:rsidRDefault="00E27519">
      <w:pPr>
        <w:spacing w:before="0"/>
        <w:jc w:val="both"/>
        <w:rPr>
          <w:rFonts w:eastAsia="Calibri"/>
          <w:b/>
          <w:sz w:val="20"/>
          <w:lang w:eastAsia="en-US"/>
        </w:rPr>
      </w:pPr>
    </w:p>
    <w:p w14:paraId="72514951" w14:textId="77777777" w:rsidR="00E27519" w:rsidRDefault="00E27519">
      <w:pPr>
        <w:spacing w:before="0"/>
        <w:jc w:val="both"/>
        <w:rPr>
          <w:rFonts w:eastAsia="Calibri"/>
          <w:b/>
          <w:sz w:val="20"/>
          <w:lang w:eastAsia="en-US"/>
        </w:rPr>
      </w:pPr>
    </w:p>
    <w:p w14:paraId="33768BC8" w14:textId="77777777" w:rsidR="00E27519" w:rsidRDefault="0003178C">
      <w:pPr>
        <w:spacing w:before="0"/>
        <w:jc w:val="center"/>
        <w:rPr>
          <w:rFonts w:eastAsia="Calibri"/>
          <w:b/>
          <w:sz w:val="20"/>
          <w:lang w:eastAsia="en-US"/>
        </w:rPr>
      </w:pPr>
      <w:r>
        <w:rPr>
          <w:rFonts w:eastAsia="Calibri"/>
          <w:b/>
          <w:noProof/>
          <w:sz w:val="20"/>
          <w:lang w:eastAsia="it-IT" w:bidi="ar-SA"/>
        </w:rPr>
        <w:lastRenderedPageBreak/>
        <w:drawing>
          <wp:inline distT="0" distB="0" distL="0" distR="0" wp14:anchorId="69062B93" wp14:editId="2CC28676">
            <wp:extent cx="4572000" cy="2743200"/>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DD4C19" w14:textId="77777777" w:rsidR="00E27519" w:rsidRDefault="00E27519">
      <w:pPr>
        <w:spacing w:before="0"/>
        <w:jc w:val="both"/>
        <w:rPr>
          <w:rFonts w:eastAsia="Calibri"/>
          <w:b/>
          <w:sz w:val="20"/>
          <w:lang w:eastAsia="en-US"/>
        </w:rPr>
      </w:pPr>
    </w:p>
    <w:p w14:paraId="75BD501E" w14:textId="77777777" w:rsidR="00E27519" w:rsidRDefault="00E27519">
      <w:pPr>
        <w:spacing w:before="0"/>
        <w:jc w:val="both"/>
        <w:rPr>
          <w:rFonts w:eastAsia="Calibri"/>
          <w:b/>
          <w:sz w:val="20"/>
          <w:lang w:eastAsia="en-US"/>
        </w:rPr>
      </w:pPr>
    </w:p>
    <w:p w14:paraId="7AB78475" w14:textId="77777777" w:rsidR="00E27519" w:rsidRDefault="00E27519">
      <w:pPr>
        <w:spacing w:before="0"/>
        <w:jc w:val="both"/>
        <w:rPr>
          <w:rFonts w:eastAsia="Calibri"/>
          <w:b/>
          <w:sz w:val="20"/>
          <w:lang w:eastAsia="en-US"/>
        </w:rPr>
      </w:pPr>
    </w:p>
    <w:p w14:paraId="6D617C8E" w14:textId="77777777" w:rsidR="00E27519" w:rsidRDefault="0003178C">
      <w:pPr>
        <w:spacing w:before="0"/>
        <w:jc w:val="center"/>
        <w:rPr>
          <w:rFonts w:eastAsia="Calibri"/>
          <w:b/>
          <w:sz w:val="20"/>
          <w:lang w:eastAsia="en-US"/>
        </w:rPr>
      </w:pPr>
      <w:r>
        <w:rPr>
          <w:rFonts w:eastAsia="Calibri"/>
          <w:b/>
          <w:noProof/>
          <w:sz w:val="20"/>
          <w:lang w:eastAsia="it-IT" w:bidi="ar-SA"/>
        </w:rPr>
        <w:drawing>
          <wp:inline distT="0" distB="0" distL="0" distR="0" wp14:anchorId="3DAD3176" wp14:editId="384F587B">
            <wp:extent cx="6480810" cy="3540125"/>
            <wp:effectExtent l="0" t="0" r="15240" b="3175"/>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F43DC2" w14:textId="77777777" w:rsidR="00E27519" w:rsidRDefault="00E27519">
      <w:pPr>
        <w:spacing w:before="0"/>
        <w:jc w:val="center"/>
        <w:rPr>
          <w:rFonts w:eastAsia="Calibri"/>
          <w:b/>
          <w:sz w:val="20"/>
          <w:lang w:eastAsia="en-US"/>
        </w:rPr>
      </w:pPr>
    </w:p>
    <w:p w14:paraId="67F22426" w14:textId="77777777" w:rsidR="00E27519" w:rsidRDefault="00E27519">
      <w:pPr>
        <w:spacing w:before="0"/>
        <w:jc w:val="center"/>
        <w:rPr>
          <w:rFonts w:eastAsia="Calibri"/>
          <w:b/>
          <w:sz w:val="20"/>
          <w:lang w:eastAsia="en-US"/>
        </w:rPr>
      </w:pPr>
    </w:p>
    <w:p w14:paraId="4F61BC7E" w14:textId="77777777" w:rsidR="00E27519" w:rsidRDefault="0003178C">
      <w:pPr>
        <w:pStyle w:val="Titolo3Verdana"/>
        <w:rPr>
          <w:rFonts w:asciiTheme="minorHAnsi" w:eastAsia="Calibri" w:hAnsiTheme="minorHAnsi"/>
        </w:rPr>
      </w:pPr>
      <w:bookmarkStart w:id="12" w:name="_Toc486415625"/>
      <w:r>
        <w:rPr>
          <w:rFonts w:asciiTheme="minorHAnsi" w:eastAsia="Calibri" w:hAnsiTheme="minorHAnsi"/>
        </w:rPr>
        <w:lastRenderedPageBreak/>
        <w:t>1.3 Sanità Pubblica e prevenzione delle malattie</w:t>
      </w:r>
      <w:bookmarkEnd w:id="12"/>
      <w:r>
        <w:rPr>
          <w:rFonts w:asciiTheme="minorHAnsi" w:eastAsia="Calibri" w:hAnsiTheme="minorHAnsi"/>
        </w:rPr>
        <w:t xml:space="preserve"> </w:t>
      </w:r>
    </w:p>
    <w:p w14:paraId="7F878145" w14:textId="71281FD5" w:rsidR="000A3EBB" w:rsidRDefault="0003178C" w:rsidP="000A3EBB">
      <w:pPr>
        <w:spacing w:before="0"/>
        <w:jc w:val="both"/>
        <w:rPr>
          <w:rFonts w:asciiTheme="minorHAnsi" w:eastAsia="Calibri" w:hAnsiTheme="minorHAnsi"/>
          <w:sz w:val="20"/>
          <w:lang w:eastAsia="en-US"/>
        </w:rPr>
      </w:pPr>
      <w:r>
        <w:rPr>
          <w:rFonts w:asciiTheme="minorHAnsi" w:eastAsia="Calibri" w:hAnsiTheme="minorHAnsi"/>
          <w:sz w:val="20"/>
          <w:lang w:eastAsia="en-US"/>
        </w:rPr>
        <w:t xml:space="preserve">Nel 2016 ha avuto avvio il Piano Locale Attuativo (PLA) 2016-2018 del Piano Regionale della Prevenzione (PRP). La sua redazione avviata nel 2015, è stata completata nel mese di gennaio 2016, nel rispetto dei tempi previsti dalla Regione. Dopo l’approvazione formale della Regione hanno avuto inizio le azioni previste dai progetti inseriti nel Piano, secondo i rispettivi </w:t>
      </w:r>
      <w:proofErr w:type="spellStart"/>
      <w:r>
        <w:rPr>
          <w:rFonts w:asciiTheme="minorHAnsi" w:eastAsia="Calibri" w:hAnsiTheme="minorHAnsi"/>
          <w:sz w:val="20"/>
          <w:lang w:eastAsia="en-US"/>
        </w:rPr>
        <w:t>cronogrammi</w:t>
      </w:r>
      <w:r w:rsidR="00C175F2" w:rsidRPr="00C175F2">
        <w:rPr>
          <w:rFonts w:asciiTheme="minorHAnsi" w:eastAsia="Calibri" w:hAnsiTheme="minorHAnsi"/>
          <w:sz w:val="20"/>
          <w:lang w:eastAsia="en-US"/>
        </w:rPr>
        <w:t>Secondo</w:t>
      </w:r>
      <w:proofErr w:type="spellEnd"/>
      <w:r w:rsidR="00C175F2" w:rsidRPr="00C175F2">
        <w:rPr>
          <w:rFonts w:asciiTheme="minorHAnsi" w:eastAsia="Calibri" w:hAnsiTheme="minorHAnsi"/>
          <w:sz w:val="20"/>
          <w:lang w:eastAsia="en-US"/>
        </w:rPr>
        <w:t xml:space="preserve"> le indicazioni fornite dalla Regione, le Aziende Sanitarie si impegnano a fornire il contributo previsto al raggiungimento degli obiettivi regionali per l’attuazione degli interventi di prevenzione e promozione della salute individuati nei principali </w:t>
      </w:r>
      <w:proofErr w:type="spellStart"/>
      <w:r w:rsidR="00C175F2" w:rsidRPr="00C175F2">
        <w:rPr>
          <w:rFonts w:asciiTheme="minorHAnsi" w:eastAsia="Calibri" w:hAnsiTheme="minorHAnsi"/>
          <w:sz w:val="20"/>
          <w:lang w:eastAsia="en-US"/>
        </w:rPr>
        <w:t>setting</w:t>
      </w:r>
      <w:proofErr w:type="spellEnd"/>
      <w:r w:rsidR="00C175F2" w:rsidRPr="00C175F2">
        <w:rPr>
          <w:rFonts w:asciiTheme="minorHAnsi" w:eastAsia="Calibri" w:hAnsiTheme="minorHAnsi"/>
          <w:sz w:val="20"/>
          <w:lang w:eastAsia="en-US"/>
        </w:rPr>
        <w:t xml:space="preserve"> del PRP (Piano Regionale della Prevenzione) 2015-2018. Il PRP individua una serie di indicatori rilevanti (“indicatori sentinella”), condivisi a livello nazionale. Gli indicatori sentinella dei 68 progetti del PRP sono verificati in parte a livello locale e in parte a livello regionale. L’Azienda USL di Modena, nel 2016 ha contribuito al raggiungimento degli standard previsti, in quanto il 96,7% degli indicatori sentinella verificati a livello locale (29 su 30) hanno superato il 95% del valore atteso. </w:t>
      </w:r>
      <w:r w:rsidR="00C175F2">
        <w:rPr>
          <w:rFonts w:asciiTheme="minorHAnsi" w:eastAsia="Calibri" w:hAnsiTheme="minorHAnsi"/>
          <w:sz w:val="20"/>
          <w:lang w:eastAsia="en-US"/>
        </w:rPr>
        <w:t>Per i progetti del PRP valutati a livello regionale, n</w:t>
      </w:r>
      <w:r>
        <w:rPr>
          <w:rFonts w:asciiTheme="minorHAnsi" w:eastAsia="Calibri" w:hAnsiTheme="minorHAnsi"/>
          <w:sz w:val="20"/>
          <w:lang w:eastAsia="en-US"/>
        </w:rPr>
        <w:t>el 2016 l’Azienda USL di Modena ha raggiunto almeno il 95% del valore atteso dell’indicatore sentinella nel 97% dei progetti (43 su 44), superando così l’obiettivo regionale. L’unico indicatore sentinella, sul quale l’Azienda ha già avviato degli interventi ad hoc</w:t>
      </w:r>
      <w:r w:rsidR="00C175F2">
        <w:rPr>
          <w:rFonts w:asciiTheme="minorHAnsi" w:eastAsia="Calibri" w:hAnsiTheme="minorHAnsi"/>
          <w:sz w:val="20"/>
          <w:lang w:eastAsia="en-US"/>
        </w:rPr>
        <w:t>,</w:t>
      </w:r>
      <w:r>
        <w:rPr>
          <w:rFonts w:asciiTheme="minorHAnsi" w:eastAsia="Calibri" w:hAnsiTheme="minorHAnsi"/>
          <w:sz w:val="20"/>
          <w:lang w:eastAsia="en-US"/>
        </w:rPr>
        <w:t xml:space="preserve"> riguarda l’utilizzo della scheda informatizzata per la registrazione dello screening HIV dei detenuti. </w:t>
      </w:r>
      <w:r w:rsidR="000A3EBB">
        <w:rPr>
          <w:rFonts w:asciiTheme="minorHAnsi" w:eastAsia="Calibri" w:hAnsiTheme="minorHAnsi"/>
          <w:sz w:val="20"/>
          <w:lang w:eastAsia="en-US"/>
        </w:rPr>
        <w:t xml:space="preserve">La valutazione dettagliata del PRP </w:t>
      </w:r>
      <w:r w:rsidR="00C175F2">
        <w:rPr>
          <w:rFonts w:asciiTheme="minorHAnsi" w:eastAsia="Calibri" w:hAnsiTheme="minorHAnsi"/>
          <w:sz w:val="20"/>
          <w:lang w:eastAsia="en-US"/>
        </w:rPr>
        <w:t xml:space="preserve">effettuata dalla RER </w:t>
      </w:r>
      <w:r w:rsidR="000A3EBB">
        <w:rPr>
          <w:rFonts w:asciiTheme="minorHAnsi" w:eastAsia="Calibri" w:hAnsiTheme="minorHAnsi"/>
          <w:sz w:val="20"/>
          <w:lang w:eastAsia="en-US"/>
        </w:rPr>
        <w:t>è riportata nell’Allegato 2 alla presente Relazione.</w:t>
      </w:r>
    </w:p>
    <w:p w14:paraId="6957F654"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Relativamente all’attività di vigilanza e controllo sono stati raggiunti gli obiettivi di copertura fissati dalla Regione in diversi ambiti: cantieri edili, aziende agricole, strutture sanitarie, impianti natatori.</w:t>
      </w:r>
    </w:p>
    <w:p w14:paraId="6D4CAC35" w14:textId="3D0D26A1"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Particolare impegno ha comportato la gestione de</w:t>
      </w:r>
      <w:r w:rsidR="00E1059D">
        <w:rPr>
          <w:rFonts w:asciiTheme="minorHAnsi" w:eastAsia="Calibri" w:hAnsiTheme="minorHAnsi"/>
          <w:sz w:val="20"/>
          <w:lang w:eastAsia="en-US"/>
        </w:rPr>
        <w:t xml:space="preserve">lle persone </w:t>
      </w:r>
      <w:r>
        <w:rPr>
          <w:rFonts w:asciiTheme="minorHAnsi" w:eastAsia="Calibri" w:hAnsiTheme="minorHAnsi"/>
          <w:sz w:val="20"/>
          <w:lang w:eastAsia="en-US"/>
        </w:rPr>
        <w:t>del Progetto “Mare Nostrum” e “</w:t>
      </w:r>
      <w:proofErr w:type="spellStart"/>
      <w:r>
        <w:rPr>
          <w:rFonts w:asciiTheme="minorHAnsi" w:eastAsia="Calibri" w:hAnsiTheme="minorHAnsi"/>
          <w:sz w:val="20"/>
          <w:lang w:eastAsia="en-US"/>
        </w:rPr>
        <w:t>Triton</w:t>
      </w:r>
      <w:proofErr w:type="spellEnd"/>
      <w:r>
        <w:rPr>
          <w:rFonts w:asciiTheme="minorHAnsi" w:eastAsia="Calibri" w:hAnsiTheme="minorHAnsi"/>
          <w:sz w:val="20"/>
          <w:lang w:eastAsia="en-US"/>
        </w:rPr>
        <w:t>” trasferit</w:t>
      </w:r>
      <w:r w:rsidR="00E1059D">
        <w:rPr>
          <w:rFonts w:asciiTheme="minorHAnsi" w:eastAsia="Calibri" w:hAnsiTheme="minorHAnsi"/>
          <w:sz w:val="20"/>
          <w:lang w:eastAsia="en-US"/>
        </w:rPr>
        <w:t>e</w:t>
      </w:r>
      <w:r>
        <w:rPr>
          <w:rFonts w:asciiTheme="minorHAnsi" w:eastAsia="Calibri" w:hAnsiTheme="minorHAnsi"/>
          <w:sz w:val="20"/>
          <w:lang w:eastAsia="en-US"/>
        </w:rPr>
        <w:t xml:space="preserve"> nel territorio provinciale. </w:t>
      </w:r>
      <w:r w:rsidR="00E1059D">
        <w:rPr>
          <w:rFonts w:asciiTheme="minorHAnsi" w:eastAsia="Calibri" w:hAnsiTheme="minorHAnsi"/>
          <w:sz w:val="20"/>
          <w:lang w:eastAsia="en-US"/>
        </w:rPr>
        <w:t>D</w:t>
      </w:r>
      <w:r>
        <w:rPr>
          <w:rFonts w:asciiTheme="minorHAnsi" w:eastAsia="Calibri" w:hAnsiTheme="minorHAnsi"/>
          <w:sz w:val="20"/>
          <w:lang w:eastAsia="en-US"/>
        </w:rPr>
        <w:t>a settembre si è attuato un potenziamento riducendo così i tempi di attesa per gli accertamenti necessari.</w:t>
      </w:r>
    </w:p>
    <w:p w14:paraId="31775FAC"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Nel corso dell’anno sono stati avviati progetti e percorsi per rispondere a nuovi bisogni di sanità pubblica:</w:t>
      </w:r>
    </w:p>
    <w:p w14:paraId="4B9E0B0C" w14:textId="77777777" w:rsidR="00E27519" w:rsidRDefault="0003178C">
      <w:pPr>
        <w:pStyle w:val="Paragrafoelenco2"/>
        <w:numPr>
          <w:ilvl w:val="0"/>
          <w:numId w:val="10"/>
        </w:numPr>
        <w:jc w:val="both"/>
        <w:rPr>
          <w:rFonts w:asciiTheme="minorHAnsi" w:eastAsia="Calibri" w:hAnsiTheme="minorHAnsi"/>
          <w:lang w:eastAsia="en-US"/>
        </w:rPr>
      </w:pPr>
      <w:r>
        <w:rPr>
          <w:rFonts w:asciiTheme="minorHAnsi" w:eastAsia="Calibri" w:hAnsiTheme="minorHAnsi"/>
          <w:lang w:eastAsia="en-US"/>
        </w:rPr>
        <w:t xml:space="preserve">coordinamento, tramite il Servizio di Igiene Pubblica, del gruppo di lavoro interaziendale per la sorveglianza e controllo dell’infezione da </w:t>
      </w:r>
      <w:proofErr w:type="spellStart"/>
      <w:r>
        <w:rPr>
          <w:rFonts w:asciiTheme="minorHAnsi" w:eastAsia="Calibri" w:hAnsiTheme="minorHAnsi"/>
          <w:lang w:eastAsia="en-US"/>
        </w:rPr>
        <w:t>Zika</w:t>
      </w:r>
      <w:proofErr w:type="spellEnd"/>
      <w:r>
        <w:rPr>
          <w:rFonts w:asciiTheme="minorHAnsi" w:eastAsia="Calibri" w:hAnsiTheme="minorHAnsi"/>
          <w:lang w:eastAsia="en-US"/>
        </w:rPr>
        <w:t xml:space="preserve"> virus che ha stabilito i diversi percorsi operativi in caso di sospetta infezione;</w:t>
      </w:r>
    </w:p>
    <w:p w14:paraId="091AA2BB" w14:textId="77777777" w:rsidR="00E27519" w:rsidRDefault="0003178C">
      <w:pPr>
        <w:pStyle w:val="Paragrafoelenco2"/>
        <w:numPr>
          <w:ilvl w:val="0"/>
          <w:numId w:val="10"/>
        </w:numPr>
        <w:jc w:val="both"/>
        <w:rPr>
          <w:rFonts w:asciiTheme="minorHAnsi" w:eastAsia="Calibri" w:hAnsiTheme="minorHAnsi"/>
          <w:lang w:eastAsia="en-US"/>
        </w:rPr>
      </w:pPr>
      <w:r>
        <w:rPr>
          <w:rFonts w:asciiTheme="minorHAnsi" w:eastAsia="Calibri" w:hAnsiTheme="minorHAnsi"/>
          <w:lang w:eastAsia="en-US"/>
        </w:rPr>
        <w:t xml:space="preserve">implementazione di programmi di vaccinazione delle fasce più deboli e a rischio: malati cronici, trapiantati, HIV positivi, carcerati e migranti. Ciò ha comportato un significativo incremento delle vaccinazioni rispetto all’anno precedente, unitamente al fortissimo aumento di richiesta di vaccinazioni </w:t>
      </w:r>
      <w:proofErr w:type="spellStart"/>
      <w:r>
        <w:rPr>
          <w:rFonts w:asciiTheme="minorHAnsi" w:eastAsia="Calibri" w:hAnsiTheme="minorHAnsi"/>
          <w:lang w:eastAsia="en-US"/>
        </w:rPr>
        <w:t>antimeningococco</w:t>
      </w:r>
      <w:proofErr w:type="spellEnd"/>
      <w:r>
        <w:rPr>
          <w:rFonts w:asciiTheme="minorHAnsi" w:eastAsia="Calibri" w:hAnsiTheme="minorHAnsi"/>
          <w:lang w:eastAsia="en-US"/>
        </w:rPr>
        <w:t>;</w:t>
      </w:r>
    </w:p>
    <w:p w14:paraId="5DE18B77" w14:textId="77777777" w:rsidR="00E27519" w:rsidRDefault="0003178C">
      <w:pPr>
        <w:pStyle w:val="Paragrafoelenco2"/>
        <w:numPr>
          <w:ilvl w:val="0"/>
          <w:numId w:val="10"/>
        </w:numPr>
        <w:jc w:val="both"/>
        <w:rPr>
          <w:rFonts w:asciiTheme="minorHAnsi" w:eastAsia="Calibri" w:hAnsiTheme="minorHAnsi"/>
          <w:lang w:eastAsia="en-US"/>
        </w:rPr>
      </w:pPr>
      <w:r>
        <w:rPr>
          <w:rFonts w:asciiTheme="minorHAnsi" w:eastAsia="Calibri" w:hAnsiTheme="minorHAnsi"/>
          <w:lang w:eastAsia="en-US"/>
        </w:rPr>
        <w:t>avviato il percorso di costituzione di un Registro Tumori di Area Vasta con la presentazione ad aprile del primo rapporto realizzato in comune con l’Azienda USL di Reggio Emilia;</w:t>
      </w:r>
    </w:p>
    <w:p w14:paraId="30B04287" w14:textId="77777777" w:rsidR="00E27519" w:rsidRDefault="0003178C">
      <w:pPr>
        <w:pStyle w:val="Paragrafoelenco2"/>
        <w:numPr>
          <w:ilvl w:val="0"/>
          <w:numId w:val="10"/>
        </w:numPr>
        <w:jc w:val="both"/>
        <w:rPr>
          <w:rFonts w:asciiTheme="minorHAnsi" w:eastAsia="Calibri" w:hAnsiTheme="minorHAnsi"/>
          <w:lang w:eastAsia="en-US"/>
        </w:rPr>
      </w:pPr>
      <w:r>
        <w:rPr>
          <w:rFonts w:asciiTheme="minorHAnsi" w:eastAsia="Calibri" w:hAnsiTheme="minorHAnsi"/>
          <w:lang w:eastAsia="en-US"/>
        </w:rPr>
        <w:t>terminata l’indagine sugli effetti a medio termine del terremoto sulla salute delle popolazioni colpite nell’area nord della provincia e diffusi i risultati.</w:t>
      </w:r>
    </w:p>
    <w:p w14:paraId="74B0EF28"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 xml:space="preserve">Il dipartimento di Sanità Pubblica dell’Azienda USL di Modena, proseguendo le attività di vigilanza e controllo nel 2016 ha ispezionato il 10,1% (3.336/32.904) delle aziende con dipendenti (obiettivo DGR 1003/16 &gt;=9%). Per quanto concerne la sorveglianza e la prevenzione delle malattie, la copertura vaccinale per le vaccinazioni obbligatorie nell'infanzia e nell'adolescenza è stata pari a: </w:t>
      </w:r>
    </w:p>
    <w:p w14:paraId="42D3B975" w14:textId="77777777" w:rsidR="00E27519" w:rsidRDefault="00E27519">
      <w:pPr>
        <w:spacing w:before="0"/>
        <w:jc w:val="both"/>
        <w:rPr>
          <w:rFonts w:asciiTheme="minorHAnsi" w:eastAsia="Calibri" w:hAnsiTheme="minorHAnsi"/>
          <w:sz w:val="20"/>
          <w:lang w:eastAsia="en-US"/>
        </w:rPr>
      </w:pPr>
    </w:p>
    <w:tbl>
      <w:tblPr>
        <w:tblW w:w="10204" w:type="dxa"/>
        <w:tblLayout w:type="fixed"/>
        <w:tblCellMar>
          <w:top w:w="55" w:type="dxa"/>
          <w:left w:w="55" w:type="dxa"/>
          <w:bottom w:w="55" w:type="dxa"/>
          <w:right w:w="55" w:type="dxa"/>
        </w:tblCellMar>
        <w:tblLook w:val="04A0" w:firstRow="1" w:lastRow="0" w:firstColumn="1" w:lastColumn="0" w:noHBand="0" w:noVBand="1"/>
      </w:tblPr>
      <w:tblGrid>
        <w:gridCol w:w="2596"/>
        <w:gridCol w:w="3357"/>
        <w:gridCol w:w="4251"/>
      </w:tblGrid>
      <w:tr w:rsidR="00E27519" w14:paraId="3DE0E9D5" w14:textId="77777777">
        <w:trPr>
          <w:trHeight w:val="20"/>
        </w:trPr>
        <w:tc>
          <w:tcPr>
            <w:tcW w:w="2596" w:type="dxa"/>
            <w:tcBorders>
              <w:top w:val="single" w:sz="0" w:space="0" w:color="000000"/>
              <w:left w:val="single" w:sz="0" w:space="0" w:color="000000"/>
              <w:bottom w:val="single" w:sz="0" w:space="0" w:color="000000"/>
            </w:tcBorders>
            <w:shd w:val="clear" w:color="auto" w:fill="auto"/>
          </w:tcPr>
          <w:p w14:paraId="4F7E94F2" w14:textId="77777777" w:rsidR="00E27519" w:rsidRDefault="0003178C">
            <w:pPr>
              <w:pStyle w:val="Contenutotabella"/>
              <w:jc w:val="center"/>
              <w:rPr>
                <w:rFonts w:asciiTheme="minorHAnsi" w:hAnsiTheme="minorHAnsi"/>
                <w:sz w:val="20"/>
              </w:rPr>
            </w:pPr>
            <w:r>
              <w:rPr>
                <w:rFonts w:asciiTheme="minorHAnsi" w:hAnsiTheme="minorHAnsi"/>
                <w:sz w:val="20"/>
              </w:rPr>
              <w:t xml:space="preserve">Vaccinazione raccomandata </w:t>
            </w:r>
          </w:p>
        </w:tc>
        <w:tc>
          <w:tcPr>
            <w:tcW w:w="3357" w:type="dxa"/>
            <w:tcBorders>
              <w:top w:val="single" w:sz="0" w:space="0" w:color="000000"/>
              <w:left w:val="single" w:sz="0" w:space="0" w:color="000000"/>
              <w:bottom w:val="single" w:sz="0" w:space="0" w:color="000000"/>
            </w:tcBorders>
            <w:shd w:val="clear" w:color="auto" w:fill="auto"/>
          </w:tcPr>
          <w:p w14:paraId="4624E0C7" w14:textId="77777777" w:rsidR="00E27519" w:rsidRDefault="0003178C">
            <w:pPr>
              <w:pStyle w:val="Contenutotabella"/>
              <w:jc w:val="center"/>
              <w:rPr>
                <w:rFonts w:asciiTheme="minorHAnsi" w:hAnsiTheme="minorHAnsi"/>
                <w:sz w:val="20"/>
              </w:rPr>
            </w:pPr>
            <w:r>
              <w:rPr>
                <w:rFonts w:asciiTheme="minorHAnsi" w:hAnsiTheme="minorHAnsi"/>
                <w:sz w:val="20"/>
              </w:rPr>
              <w:t>Azienda USL -Modena - % copertura</w:t>
            </w:r>
          </w:p>
        </w:tc>
        <w:tc>
          <w:tcPr>
            <w:tcW w:w="4251" w:type="dxa"/>
            <w:tcBorders>
              <w:top w:val="single" w:sz="0" w:space="0" w:color="000000"/>
              <w:left w:val="single" w:sz="0" w:space="0" w:color="000000"/>
              <w:bottom w:val="single" w:sz="0" w:space="0" w:color="000000"/>
              <w:right w:val="single" w:sz="0" w:space="0" w:color="000000"/>
            </w:tcBorders>
            <w:shd w:val="clear" w:color="auto" w:fill="auto"/>
          </w:tcPr>
          <w:p w14:paraId="0FD01C78" w14:textId="77777777" w:rsidR="00E27519" w:rsidRDefault="0003178C">
            <w:pPr>
              <w:pStyle w:val="Contenutotabella"/>
              <w:jc w:val="center"/>
              <w:rPr>
                <w:rFonts w:asciiTheme="minorHAnsi" w:hAnsiTheme="minorHAnsi"/>
                <w:sz w:val="20"/>
              </w:rPr>
            </w:pPr>
            <w:r>
              <w:rPr>
                <w:rFonts w:asciiTheme="minorHAnsi" w:hAnsiTheme="minorHAnsi"/>
                <w:sz w:val="20"/>
              </w:rPr>
              <w:t>Regione Emilia Romagna - % copertura</w:t>
            </w:r>
          </w:p>
        </w:tc>
      </w:tr>
      <w:tr w:rsidR="00E27519" w14:paraId="5216E1D3" w14:textId="77777777">
        <w:trPr>
          <w:trHeight w:val="20"/>
        </w:trPr>
        <w:tc>
          <w:tcPr>
            <w:tcW w:w="2596" w:type="dxa"/>
            <w:tcBorders>
              <w:left w:val="single" w:sz="0" w:space="0" w:color="000000"/>
              <w:bottom w:val="single" w:sz="0" w:space="0" w:color="000000"/>
            </w:tcBorders>
            <w:shd w:val="clear" w:color="auto" w:fill="auto"/>
          </w:tcPr>
          <w:p w14:paraId="787759BB" w14:textId="77777777" w:rsidR="00E27519" w:rsidRDefault="0003178C">
            <w:pPr>
              <w:pStyle w:val="Contenutotabella"/>
              <w:rPr>
                <w:rFonts w:asciiTheme="minorHAnsi" w:hAnsiTheme="minorHAnsi"/>
                <w:sz w:val="20"/>
              </w:rPr>
            </w:pPr>
            <w:r>
              <w:rPr>
                <w:rFonts w:asciiTheme="minorHAnsi" w:hAnsiTheme="minorHAnsi"/>
                <w:sz w:val="20"/>
              </w:rPr>
              <w:t>Pertosse 12 mesi</w:t>
            </w:r>
          </w:p>
        </w:tc>
        <w:tc>
          <w:tcPr>
            <w:tcW w:w="3357" w:type="dxa"/>
            <w:tcBorders>
              <w:left w:val="single" w:sz="0" w:space="0" w:color="000000"/>
              <w:bottom w:val="single" w:sz="0" w:space="0" w:color="000000"/>
            </w:tcBorders>
            <w:shd w:val="clear" w:color="auto" w:fill="auto"/>
          </w:tcPr>
          <w:p w14:paraId="15BA5478" w14:textId="77777777" w:rsidR="00E27519" w:rsidRDefault="0003178C">
            <w:pPr>
              <w:pStyle w:val="Contenutotabella"/>
              <w:jc w:val="center"/>
              <w:rPr>
                <w:rFonts w:asciiTheme="minorHAnsi" w:hAnsiTheme="minorHAnsi"/>
                <w:sz w:val="20"/>
              </w:rPr>
            </w:pPr>
            <w:r>
              <w:rPr>
                <w:rFonts w:asciiTheme="minorHAnsi" w:hAnsiTheme="minorHAnsi"/>
                <w:sz w:val="20"/>
              </w:rPr>
              <w:t>96,2 %</w:t>
            </w:r>
          </w:p>
        </w:tc>
        <w:tc>
          <w:tcPr>
            <w:tcW w:w="4251" w:type="dxa"/>
            <w:tcBorders>
              <w:left w:val="single" w:sz="0" w:space="0" w:color="000000"/>
              <w:bottom w:val="single" w:sz="0" w:space="0" w:color="000000"/>
              <w:right w:val="single" w:sz="0" w:space="0" w:color="000000"/>
            </w:tcBorders>
            <w:shd w:val="clear" w:color="auto" w:fill="auto"/>
          </w:tcPr>
          <w:p w14:paraId="28474B0C" w14:textId="77777777" w:rsidR="00E27519" w:rsidRDefault="0003178C">
            <w:pPr>
              <w:pStyle w:val="Contenutotabella"/>
              <w:jc w:val="center"/>
              <w:rPr>
                <w:rFonts w:asciiTheme="minorHAnsi" w:hAnsiTheme="minorHAnsi"/>
                <w:sz w:val="20"/>
              </w:rPr>
            </w:pPr>
            <w:r>
              <w:rPr>
                <w:rFonts w:asciiTheme="minorHAnsi" w:hAnsiTheme="minorHAnsi"/>
                <w:sz w:val="20"/>
              </w:rPr>
              <w:t>96,2 %</w:t>
            </w:r>
          </w:p>
        </w:tc>
      </w:tr>
      <w:tr w:rsidR="00E27519" w14:paraId="38D716BB" w14:textId="77777777">
        <w:trPr>
          <w:trHeight w:val="20"/>
        </w:trPr>
        <w:tc>
          <w:tcPr>
            <w:tcW w:w="2596" w:type="dxa"/>
            <w:tcBorders>
              <w:left w:val="single" w:sz="0" w:space="0" w:color="000000"/>
              <w:bottom w:val="single" w:sz="0" w:space="0" w:color="000000"/>
            </w:tcBorders>
            <w:shd w:val="clear" w:color="auto" w:fill="auto"/>
          </w:tcPr>
          <w:p w14:paraId="52E24D05" w14:textId="77777777" w:rsidR="00E27519" w:rsidRDefault="0003178C">
            <w:pPr>
              <w:pStyle w:val="Contenutotabella"/>
              <w:rPr>
                <w:rFonts w:asciiTheme="minorHAnsi" w:hAnsiTheme="minorHAnsi"/>
                <w:sz w:val="20"/>
              </w:rPr>
            </w:pPr>
            <w:r>
              <w:rPr>
                <w:rFonts w:asciiTheme="minorHAnsi" w:hAnsiTheme="minorHAnsi"/>
                <w:sz w:val="20"/>
              </w:rPr>
              <w:t xml:space="preserve">Emofilo 12 mesi </w:t>
            </w:r>
          </w:p>
        </w:tc>
        <w:tc>
          <w:tcPr>
            <w:tcW w:w="3357" w:type="dxa"/>
            <w:tcBorders>
              <w:left w:val="single" w:sz="0" w:space="0" w:color="000000"/>
              <w:bottom w:val="single" w:sz="0" w:space="0" w:color="000000"/>
            </w:tcBorders>
            <w:shd w:val="clear" w:color="auto" w:fill="auto"/>
          </w:tcPr>
          <w:p w14:paraId="4EB18BD6" w14:textId="77777777" w:rsidR="00E27519" w:rsidRDefault="0003178C">
            <w:pPr>
              <w:pStyle w:val="Contenutotabella"/>
              <w:jc w:val="center"/>
              <w:rPr>
                <w:rFonts w:asciiTheme="minorHAnsi" w:hAnsiTheme="minorHAnsi"/>
                <w:sz w:val="20"/>
              </w:rPr>
            </w:pPr>
            <w:r>
              <w:rPr>
                <w:rFonts w:asciiTheme="minorHAnsi" w:hAnsiTheme="minorHAnsi"/>
                <w:sz w:val="20"/>
              </w:rPr>
              <w:t>96,0 %</w:t>
            </w:r>
          </w:p>
        </w:tc>
        <w:tc>
          <w:tcPr>
            <w:tcW w:w="4251" w:type="dxa"/>
            <w:tcBorders>
              <w:left w:val="single" w:sz="0" w:space="0" w:color="000000"/>
              <w:bottom w:val="single" w:sz="0" w:space="0" w:color="000000"/>
              <w:right w:val="single" w:sz="0" w:space="0" w:color="000000"/>
            </w:tcBorders>
            <w:shd w:val="clear" w:color="auto" w:fill="auto"/>
          </w:tcPr>
          <w:p w14:paraId="0C4E747A" w14:textId="77777777" w:rsidR="00E27519" w:rsidRDefault="0003178C">
            <w:pPr>
              <w:pStyle w:val="Contenutotabella"/>
              <w:jc w:val="center"/>
              <w:rPr>
                <w:rFonts w:asciiTheme="minorHAnsi" w:hAnsiTheme="minorHAnsi"/>
                <w:sz w:val="20"/>
              </w:rPr>
            </w:pPr>
            <w:r>
              <w:rPr>
                <w:rFonts w:asciiTheme="minorHAnsi" w:hAnsiTheme="minorHAnsi"/>
                <w:sz w:val="20"/>
              </w:rPr>
              <w:t>95,8 %</w:t>
            </w:r>
          </w:p>
        </w:tc>
      </w:tr>
      <w:tr w:rsidR="00E27519" w14:paraId="733A8C98" w14:textId="77777777">
        <w:trPr>
          <w:trHeight w:val="20"/>
        </w:trPr>
        <w:tc>
          <w:tcPr>
            <w:tcW w:w="2596" w:type="dxa"/>
            <w:tcBorders>
              <w:left w:val="single" w:sz="0" w:space="0" w:color="000000"/>
              <w:bottom w:val="single" w:sz="0" w:space="0" w:color="000000"/>
            </w:tcBorders>
            <w:shd w:val="clear" w:color="auto" w:fill="auto"/>
          </w:tcPr>
          <w:p w14:paraId="2E8FD66E" w14:textId="77777777" w:rsidR="00E27519" w:rsidRDefault="0003178C">
            <w:pPr>
              <w:pStyle w:val="Contenutotabella"/>
              <w:rPr>
                <w:rFonts w:asciiTheme="minorHAnsi" w:hAnsiTheme="minorHAnsi"/>
                <w:sz w:val="20"/>
              </w:rPr>
            </w:pPr>
            <w:r>
              <w:rPr>
                <w:rFonts w:asciiTheme="minorHAnsi" w:hAnsiTheme="minorHAnsi"/>
                <w:sz w:val="20"/>
              </w:rPr>
              <w:t xml:space="preserve">Pneumococco  12 mesi </w:t>
            </w:r>
          </w:p>
        </w:tc>
        <w:tc>
          <w:tcPr>
            <w:tcW w:w="3357" w:type="dxa"/>
            <w:tcBorders>
              <w:left w:val="single" w:sz="0" w:space="0" w:color="000000"/>
              <w:bottom w:val="single" w:sz="0" w:space="0" w:color="000000"/>
            </w:tcBorders>
            <w:shd w:val="clear" w:color="auto" w:fill="auto"/>
          </w:tcPr>
          <w:p w14:paraId="5F221346" w14:textId="77777777" w:rsidR="00E27519" w:rsidRDefault="0003178C">
            <w:pPr>
              <w:pStyle w:val="Contenutotabella"/>
              <w:jc w:val="center"/>
              <w:rPr>
                <w:rFonts w:asciiTheme="minorHAnsi" w:hAnsiTheme="minorHAnsi"/>
                <w:sz w:val="20"/>
              </w:rPr>
            </w:pPr>
            <w:r>
              <w:rPr>
                <w:rFonts w:asciiTheme="minorHAnsi" w:hAnsiTheme="minorHAnsi"/>
                <w:sz w:val="20"/>
              </w:rPr>
              <w:t>95,8 %</w:t>
            </w:r>
          </w:p>
        </w:tc>
        <w:tc>
          <w:tcPr>
            <w:tcW w:w="4251" w:type="dxa"/>
            <w:tcBorders>
              <w:left w:val="single" w:sz="0" w:space="0" w:color="000000"/>
              <w:bottom w:val="single" w:sz="0" w:space="0" w:color="000000"/>
              <w:right w:val="single" w:sz="0" w:space="0" w:color="000000"/>
            </w:tcBorders>
            <w:shd w:val="clear" w:color="auto" w:fill="auto"/>
          </w:tcPr>
          <w:p w14:paraId="394A520D" w14:textId="77777777" w:rsidR="00E27519" w:rsidRDefault="0003178C">
            <w:pPr>
              <w:pStyle w:val="Contenutotabella"/>
              <w:jc w:val="center"/>
              <w:rPr>
                <w:rFonts w:asciiTheme="minorHAnsi" w:hAnsiTheme="minorHAnsi"/>
                <w:sz w:val="20"/>
              </w:rPr>
            </w:pPr>
            <w:r>
              <w:rPr>
                <w:rFonts w:asciiTheme="minorHAnsi" w:hAnsiTheme="minorHAnsi"/>
                <w:sz w:val="20"/>
              </w:rPr>
              <w:t>94,8 %</w:t>
            </w:r>
          </w:p>
        </w:tc>
      </w:tr>
      <w:tr w:rsidR="00E27519" w14:paraId="5C73B013" w14:textId="77777777">
        <w:trPr>
          <w:trHeight w:val="20"/>
        </w:trPr>
        <w:tc>
          <w:tcPr>
            <w:tcW w:w="2596" w:type="dxa"/>
            <w:tcBorders>
              <w:left w:val="single" w:sz="0" w:space="0" w:color="000000"/>
              <w:bottom w:val="single" w:sz="0" w:space="0" w:color="000000"/>
            </w:tcBorders>
            <w:shd w:val="clear" w:color="auto" w:fill="auto"/>
          </w:tcPr>
          <w:p w14:paraId="28309530" w14:textId="77777777" w:rsidR="00E27519" w:rsidRDefault="0003178C">
            <w:pPr>
              <w:pStyle w:val="Contenutotabella"/>
              <w:rPr>
                <w:rFonts w:asciiTheme="minorHAnsi" w:hAnsiTheme="minorHAnsi"/>
                <w:sz w:val="20"/>
              </w:rPr>
            </w:pPr>
            <w:r>
              <w:rPr>
                <w:rFonts w:asciiTheme="minorHAnsi" w:hAnsiTheme="minorHAnsi"/>
                <w:sz w:val="20"/>
              </w:rPr>
              <w:t xml:space="preserve">Pertosse 24 mesi  </w:t>
            </w:r>
          </w:p>
        </w:tc>
        <w:tc>
          <w:tcPr>
            <w:tcW w:w="3357" w:type="dxa"/>
            <w:tcBorders>
              <w:left w:val="single" w:sz="0" w:space="0" w:color="000000"/>
              <w:bottom w:val="single" w:sz="0" w:space="0" w:color="000000"/>
            </w:tcBorders>
            <w:shd w:val="clear" w:color="auto" w:fill="auto"/>
          </w:tcPr>
          <w:p w14:paraId="6AD8108D" w14:textId="77777777" w:rsidR="00E27519" w:rsidRDefault="0003178C">
            <w:pPr>
              <w:pStyle w:val="Contenutotabella"/>
              <w:jc w:val="center"/>
              <w:rPr>
                <w:rFonts w:asciiTheme="minorHAnsi" w:hAnsiTheme="minorHAnsi"/>
                <w:sz w:val="20"/>
              </w:rPr>
            </w:pPr>
            <w:r>
              <w:rPr>
                <w:rFonts w:asciiTheme="minorHAnsi" w:hAnsiTheme="minorHAnsi"/>
                <w:sz w:val="20"/>
              </w:rPr>
              <w:t>93,0 %</w:t>
            </w:r>
          </w:p>
        </w:tc>
        <w:tc>
          <w:tcPr>
            <w:tcW w:w="4251" w:type="dxa"/>
            <w:tcBorders>
              <w:left w:val="single" w:sz="0" w:space="0" w:color="000000"/>
              <w:bottom w:val="single" w:sz="0" w:space="0" w:color="000000"/>
              <w:right w:val="single" w:sz="0" w:space="0" w:color="000000"/>
            </w:tcBorders>
            <w:shd w:val="clear" w:color="auto" w:fill="auto"/>
          </w:tcPr>
          <w:p w14:paraId="7DFFE150" w14:textId="77777777" w:rsidR="00E27519" w:rsidRDefault="0003178C">
            <w:pPr>
              <w:pStyle w:val="Contenutotabella"/>
              <w:jc w:val="center"/>
              <w:rPr>
                <w:rFonts w:asciiTheme="minorHAnsi" w:hAnsiTheme="minorHAnsi"/>
                <w:sz w:val="20"/>
              </w:rPr>
            </w:pPr>
            <w:r>
              <w:rPr>
                <w:rFonts w:asciiTheme="minorHAnsi" w:hAnsiTheme="minorHAnsi"/>
                <w:sz w:val="20"/>
              </w:rPr>
              <w:t>93,1 %</w:t>
            </w:r>
          </w:p>
        </w:tc>
      </w:tr>
      <w:tr w:rsidR="00E27519" w14:paraId="731AA23B" w14:textId="77777777">
        <w:trPr>
          <w:trHeight w:val="20"/>
        </w:trPr>
        <w:tc>
          <w:tcPr>
            <w:tcW w:w="2596" w:type="dxa"/>
            <w:tcBorders>
              <w:left w:val="single" w:sz="0" w:space="0" w:color="000000"/>
              <w:bottom w:val="single" w:sz="0" w:space="0" w:color="000000"/>
            </w:tcBorders>
            <w:shd w:val="clear" w:color="auto" w:fill="auto"/>
          </w:tcPr>
          <w:p w14:paraId="5D36A609" w14:textId="77777777" w:rsidR="00E27519" w:rsidRDefault="0003178C">
            <w:pPr>
              <w:pStyle w:val="Contenutotabella"/>
              <w:rPr>
                <w:rFonts w:asciiTheme="minorHAnsi" w:hAnsiTheme="minorHAnsi"/>
                <w:sz w:val="20"/>
              </w:rPr>
            </w:pPr>
            <w:r>
              <w:rPr>
                <w:rFonts w:asciiTheme="minorHAnsi" w:hAnsiTheme="minorHAnsi"/>
                <w:sz w:val="20"/>
              </w:rPr>
              <w:lastRenderedPageBreak/>
              <w:t xml:space="preserve">Emofilo 24 mesi </w:t>
            </w:r>
          </w:p>
        </w:tc>
        <w:tc>
          <w:tcPr>
            <w:tcW w:w="3357" w:type="dxa"/>
            <w:tcBorders>
              <w:left w:val="single" w:sz="0" w:space="0" w:color="000000"/>
              <w:bottom w:val="single" w:sz="0" w:space="0" w:color="000000"/>
            </w:tcBorders>
            <w:shd w:val="clear" w:color="auto" w:fill="auto"/>
          </w:tcPr>
          <w:p w14:paraId="148C9F02" w14:textId="77777777" w:rsidR="00E27519" w:rsidRDefault="0003178C">
            <w:pPr>
              <w:pStyle w:val="Contenutotabella"/>
              <w:jc w:val="center"/>
              <w:rPr>
                <w:rFonts w:asciiTheme="minorHAnsi" w:hAnsiTheme="minorHAnsi"/>
                <w:sz w:val="20"/>
              </w:rPr>
            </w:pPr>
            <w:r>
              <w:rPr>
                <w:rFonts w:asciiTheme="minorHAnsi" w:hAnsiTheme="minorHAnsi"/>
                <w:sz w:val="20"/>
              </w:rPr>
              <w:t>92,6%</w:t>
            </w:r>
          </w:p>
        </w:tc>
        <w:tc>
          <w:tcPr>
            <w:tcW w:w="4251" w:type="dxa"/>
            <w:tcBorders>
              <w:left w:val="single" w:sz="0" w:space="0" w:color="000000"/>
              <w:bottom w:val="single" w:sz="0" w:space="0" w:color="000000"/>
              <w:right w:val="single" w:sz="0" w:space="0" w:color="000000"/>
            </w:tcBorders>
            <w:shd w:val="clear" w:color="auto" w:fill="auto"/>
          </w:tcPr>
          <w:p w14:paraId="71BCCD3D" w14:textId="77777777" w:rsidR="00E27519" w:rsidRDefault="0003178C">
            <w:pPr>
              <w:pStyle w:val="Contenutotabella"/>
              <w:jc w:val="center"/>
              <w:rPr>
                <w:rFonts w:asciiTheme="minorHAnsi" w:hAnsiTheme="minorHAnsi"/>
                <w:sz w:val="20"/>
              </w:rPr>
            </w:pPr>
            <w:r>
              <w:rPr>
                <w:rFonts w:asciiTheme="minorHAnsi" w:hAnsiTheme="minorHAnsi"/>
                <w:sz w:val="20"/>
              </w:rPr>
              <w:t>92,2 %</w:t>
            </w:r>
          </w:p>
        </w:tc>
      </w:tr>
      <w:tr w:rsidR="00E27519" w14:paraId="7D9C4B7F" w14:textId="77777777">
        <w:trPr>
          <w:trHeight w:val="20"/>
        </w:trPr>
        <w:tc>
          <w:tcPr>
            <w:tcW w:w="2596" w:type="dxa"/>
            <w:tcBorders>
              <w:left w:val="single" w:sz="0" w:space="0" w:color="000000"/>
              <w:bottom w:val="single" w:sz="0" w:space="0" w:color="000000"/>
            </w:tcBorders>
            <w:shd w:val="clear" w:color="auto" w:fill="auto"/>
          </w:tcPr>
          <w:p w14:paraId="5FCEA20D" w14:textId="77777777" w:rsidR="00E27519" w:rsidRDefault="0003178C">
            <w:pPr>
              <w:pStyle w:val="Contenutotabella"/>
              <w:rPr>
                <w:rFonts w:asciiTheme="minorHAnsi" w:hAnsiTheme="minorHAnsi"/>
                <w:sz w:val="20"/>
              </w:rPr>
            </w:pPr>
            <w:r>
              <w:rPr>
                <w:rFonts w:asciiTheme="minorHAnsi" w:hAnsiTheme="minorHAnsi"/>
                <w:sz w:val="20"/>
              </w:rPr>
              <w:t xml:space="preserve">Pneumococco  24 mesi </w:t>
            </w:r>
          </w:p>
        </w:tc>
        <w:tc>
          <w:tcPr>
            <w:tcW w:w="3357" w:type="dxa"/>
            <w:tcBorders>
              <w:left w:val="single" w:sz="0" w:space="0" w:color="000000"/>
              <w:bottom w:val="single" w:sz="0" w:space="0" w:color="000000"/>
            </w:tcBorders>
            <w:shd w:val="clear" w:color="auto" w:fill="auto"/>
          </w:tcPr>
          <w:p w14:paraId="152BA6DD" w14:textId="77777777" w:rsidR="00E27519" w:rsidRDefault="0003178C">
            <w:pPr>
              <w:pStyle w:val="Contenutotabella"/>
              <w:jc w:val="center"/>
              <w:rPr>
                <w:rFonts w:asciiTheme="minorHAnsi" w:hAnsiTheme="minorHAnsi"/>
                <w:sz w:val="20"/>
              </w:rPr>
            </w:pPr>
            <w:r>
              <w:rPr>
                <w:rFonts w:asciiTheme="minorHAnsi" w:hAnsiTheme="minorHAnsi"/>
                <w:sz w:val="20"/>
              </w:rPr>
              <w:t>91,9 %</w:t>
            </w:r>
          </w:p>
        </w:tc>
        <w:tc>
          <w:tcPr>
            <w:tcW w:w="4251" w:type="dxa"/>
            <w:tcBorders>
              <w:left w:val="single" w:sz="0" w:space="0" w:color="000000"/>
              <w:bottom w:val="single" w:sz="0" w:space="0" w:color="000000"/>
              <w:right w:val="single" w:sz="0" w:space="0" w:color="000000"/>
            </w:tcBorders>
            <w:shd w:val="clear" w:color="auto" w:fill="auto"/>
          </w:tcPr>
          <w:p w14:paraId="46AD3378" w14:textId="77777777" w:rsidR="00E27519" w:rsidRDefault="0003178C">
            <w:pPr>
              <w:pStyle w:val="Contenutotabella"/>
              <w:jc w:val="center"/>
              <w:rPr>
                <w:rFonts w:asciiTheme="minorHAnsi" w:hAnsiTheme="minorHAnsi"/>
                <w:sz w:val="20"/>
              </w:rPr>
            </w:pPr>
            <w:r>
              <w:rPr>
                <w:rFonts w:asciiTheme="minorHAnsi" w:hAnsiTheme="minorHAnsi"/>
                <w:sz w:val="20"/>
              </w:rPr>
              <w:t>90,6 %</w:t>
            </w:r>
          </w:p>
        </w:tc>
      </w:tr>
      <w:tr w:rsidR="00E27519" w14:paraId="69912CCB" w14:textId="77777777">
        <w:trPr>
          <w:trHeight w:val="20"/>
        </w:trPr>
        <w:tc>
          <w:tcPr>
            <w:tcW w:w="2596" w:type="dxa"/>
            <w:tcBorders>
              <w:left w:val="single" w:sz="0" w:space="0" w:color="000000"/>
              <w:bottom w:val="single" w:sz="0" w:space="0" w:color="000000"/>
            </w:tcBorders>
            <w:shd w:val="clear" w:color="auto" w:fill="auto"/>
          </w:tcPr>
          <w:p w14:paraId="70093D39" w14:textId="77777777" w:rsidR="00E27519" w:rsidRDefault="0003178C">
            <w:pPr>
              <w:pStyle w:val="Contenutotabella"/>
              <w:rPr>
                <w:rFonts w:asciiTheme="minorHAnsi" w:hAnsiTheme="minorHAnsi"/>
                <w:sz w:val="20"/>
              </w:rPr>
            </w:pPr>
            <w:r>
              <w:rPr>
                <w:rFonts w:asciiTheme="minorHAnsi" w:hAnsiTheme="minorHAnsi"/>
                <w:sz w:val="20"/>
              </w:rPr>
              <w:t xml:space="preserve">MPR 24 mesi </w:t>
            </w:r>
          </w:p>
        </w:tc>
        <w:tc>
          <w:tcPr>
            <w:tcW w:w="3357" w:type="dxa"/>
            <w:tcBorders>
              <w:left w:val="single" w:sz="0" w:space="0" w:color="000000"/>
              <w:bottom w:val="single" w:sz="0" w:space="0" w:color="000000"/>
            </w:tcBorders>
            <w:shd w:val="clear" w:color="auto" w:fill="auto"/>
          </w:tcPr>
          <w:p w14:paraId="2D7E97BD" w14:textId="77777777" w:rsidR="00E27519" w:rsidRDefault="0003178C">
            <w:pPr>
              <w:pStyle w:val="Contenutotabella"/>
              <w:jc w:val="center"/>
              <w:rPr>
                <w:rFonts w:asciiTheme="minorHAnsi" w:hAnsiTheme="minorHAnsi"/>
                <w:sz w:val="20"/>
              </w:rPr>
            </w:pPr>
            <w:r>
              <w:rPr>
                <w:rFonts w:asciiTheme="minorHAnsi" w:hAnsiTheme="minorHAnsi"/>
                <w:sz w:val="20"/>
              </w:rPr>
              <w:t>89,1 %</w:t>
            </w:r>
          </w:p>
        </w:tc>
        <w:tc>
          <w:tcPr>
            <w:tcW w:w="4251" w:type="dxa"/>
            <w:tcBorders>
              <w:left w:val="single" w:sz="0" w:space="0" w:color="000000"/>
              <w:bottom w:val="single" w:sz="0" w:space="0" w:color="000000"/>
              <w:right w:val="single" w:sz="0" w:space="0" w:color="000000"/>
            </w:tcBorders>
            <w:shd w:val="clear" w:color="auto" w:fill="auto"/>
          </w:tcPr>
          <w:p w14:paraId="6C8FF404" w14:textId="77777777" w:rsidR="00E27519" w:rsidRDefault="0003178C">
            <w:pPr>
              <w:pStyle w:val="Contenutotabella"/>
              <w:jc w:val="center"/>
              <w:rPr>
                <w:rFonts w:asciiTheme="minorHAnsi" w:hAnsiTheme="minorHAnsi"/>
                <w:sz w:val="20"/>
              </w:rPr>
            </w:pPr>
            <w:r>
              <w:rPr>
                <w:rFonts w:asciiTheme="minorHAnsi" w:hAnsiTheme="minorHAnsi"/>
                <w:sz w:val="20"/>
              </w:rPr>
              <w:t>87,2 %</w:t>
            </w:r>
          </w:p>
        </w:tc>
      </w:tr>
      <w:tr w:rsidR="00E27519" w14:paraId="3BF19EB3" w14:textId="77777777">
        <w:trPr>
          <w:trHeight w:val="20"/>
        </w:trPr>
        <w:tc>
          <w:tcPr>
            <w:tcW w:w="2596" w:type="dxa"/>
            <w:tcBorders>
              <w:left w:val="single" w:sz="0" w:space="0" w:color="000000"/>
              <w:bottom w:val="single" w:sz="0" w:space="0" w:color="000000"/>
            </w:tcBorders>
            <w:shd w:val="clear" w:color="auto" w:fill="auto"/>
          </w:tcPr>
          <w:p w14:paraId="017064F5" w14:textId="77777777" w:rsidR="00E27519" w:rsidRDefault="0003178C">
            <w:pPr>
              <w:pStyle w:val="Contenutotabella"/>
              <w:rPr>
                <w:rFonts w:asciiTheme="minorHAnsi" w:hAnsiTheme="minorHAnsi"/>
                <w:sz w:val="20"/>
              </w:rPr>
            </w:pPr>
            <w:r>
              <w:rPr>
                <w:rFonts w:asciiTheme="minorHAnsi" w:hAnsiTheme="minorHAnsi"/>
                <w:sz w:val="20"/>
              </w:rPr>
              <w:t xml:space="preserve">Meningococco 24 mesi </w:t>
            </w:r>
          </w:p>
        </w:tc>
        <w:tc>
          <w:tcPr>
            <w:tcW w:w="3357" w:type="dxa"/>
            <w:tcBorders>
              <w:left w:val="single" w:sz="0" w:space="0" w:color="000000"/>
              <w:bottom w:val="single" w:sz="0" w:space="0" w:color="000000"/>
            </w:tcBorders>
            <w:shd w:val="clear" w:color="auto" w:fill="auto"/>
          </w:tcPr>
          <w:p w14:paraId="4FDDAC1F" w14:textId="77777777" w:rsidR="00E27519" w:rsidRDefault="0003178C">
            <w:pPr>
              <w:pStyle w:val="Contenutotabella"/>
              <w:jc w:val="center"/>
              <w:rPr>
                <w:rFonts w:asciiTheme="minorHAnsi" w:hAnsiTheme="minorHAnsi"/>
                <w:sz w:val="20"/>
              </w:rPr>
            </w:pPr>
            <w:r>
              <w:rPr>
                <w:rFonts w:asciiTheme="minorHAnsi" w:hAnsiTheme="minorHAnsi"/>
                <w:sz w:val="20"/>
              </w:rPr>
              <w:t>90,5 %</w:t>
            </w:r>
          </w:p>
        </w:tc>
        <w:tc>
          <w:tcPr>
            <w:tcW w:w="4251" w:type="dxa"/>
            <w:tcBorders>
              <w:left w:val="single" w:sz="0" w:space="0" w:color="000000"/>
              <w:bottom w:val="single" w:sz="0" w:space="0" w:color="000000"/>
              <w:right w:val="single" w:sz="0" w:space="0" w:color="000000"/>
            </w:tcBorders>
            <w:shd w:val="clear" w:color="auto" w:fill="auto"/>
          </w:tcPr>
          <w:p w14:paraId="0621060C" w14:textId="77777777" w:rsidR="00E27519" w:rsidRDefault="0003178C">
            <w:pPr>
              <w:pStyle w:val="Contenutotabella"/>
              <w:jc w:val="center"/>
              <w:rPr>
                <w:rFonts w:asciiTheme="minorHAnsi" w:hAnsiTheme="minorHAnsi"/>
                <w:sz w:val="20"/>
              </w:rPr>
            </w:pPr>
            <w:r>
              <w:rPr>
                <w:rFonts w:asciiTheme="minorHAnsi" w:hAnsiTheme="minorHAnsi"/>
                <w:sz w:val="20"/>
              </w:rPr>
              <w:t>87,7 %</w:t>
            </w:r>
          </w:p>
        </w:tc>
      </w:tr>
      <w:tr w:rsidR="00E27519" w14:paraId="486A63DF" w14:textId="77777777">
        <w:trPr>
          <w:trHeight w:val="20"/>
        </w:trPr>
        <w:tc>
          <w:tcPr>
            <w:tcW w:w="2596" w:type="dxa"/>
            <w:tcBorders>
              <w:left w:val="single" w:sz="0" w:space="0" w:color="000000"/>
              <w:bottom w:val="single" w:sz="0" w:space="0" w:color="000000"/>
            </w:tcBorders>
            <w:shd w:val="clear" w:color="auto" w:fill="auto"/>
          </w:tcPr>
          <w:p w14:paraId="3F62168A" w14:textId="77777777" w:rsidR="00E27519" w:rsidRDefault="0003178C">
            <w:pPr>
              <w:pStyle w:val="Contenutotabella"/>
              <w:rPr>
                <w:rFonts w:asciiTheme="minorHAnsi" w:hAnsiTheme="minorHAnsi"/>
                <w:sz w:val="20"/>
              </w:rPr>
            </w:pPr>
            <w:r>
              <w:rPr>
                <w:rFonts w:asciiTheme="minorHAnsi" w:hAnsiTheme="minorHAnsi"/>
                <w:sz w:val="20"/>
              </w:rPr>
              <w:t>MPR 36 mesi</w:t>
            </w:r>
          </w:p>
        </w:tc>
        <w:tc>
          <w:tcPr>
            <w:tcW w:w="3357" w:type="dxa"/>
            <w:tcBorders>
              <w:left w:val="single" w:sz="0" w:space="0" w:color="000000"/>
              <w:bottom w:val="single" w:sz="0" w:space="0" w:color="000000"/>
            </w:tcBorders>
            <w:shd w:val="clear" w:color="auto" w:fill="auto"/>
          </w:tcPr>
          <w:p w14:paraId="310779FC" w14:textId="77777777" w:rsidR="00E27519" w:rsidRDefault="0003178C">
            <w:pPr>
              <w:pStyle w:val="Contenutotabella"/>
              <w:jc w:val="center"/>
              <w:rPr>
                <w:rFonts w:asciiTheme="minorHAnsi" w:hAnsiTheme="minorHAnsi"/>
                <w:sz w:val="20"/>
              </w:rPr>
            </w:pPr>
            <w:r>
              <w:rPr>
                <w:rFonts w:asciiTheme="minorHAnsi" w:hAnsiTheme="minorHAnsi"/>
                <w:sz w:val="20"/>
              </w:rPr>
              <w:t>90,4 %</w:t>
            </w:r>
          </w:p>
        </w:tc>
        <w:tc>
          <w:tcPr>
            <w:tcW w:w="4251" w:type="dxa"/>
            <w:tcBorders>
              <w:left w:val="single" w:sz="0" w:space="0" w:color="000000"/>
              <w:bottom w:val="single" w:sz="0" w:space="0" w:color="000000"/>
              <w:right w:val="single" w:sz="0" w:space="0" w:color="000000"/>
            </w:tcBorders>
            <w:shd w:val="clear" w:color="auto" w:fill="auto"/>
          </w:tcPr>
          <w:p w14:paraId="06DF87D3" w14:textId="77777777" w:rsidR="00E27519" w:rsidRDefault="0003178C">
            <w:pPr>
              <w:pStyle w:val="Contenutotabella"/>
              <w:jc w:val="center"/>
              <w:rPr>
                <w:rFonts w:asciiTheme="minorHAnsi" w:hAnsiTheme="minorHAnsi"/>
                <w:sz w:val="20"/>
              </w:rPr>
            </w:pPr>
            <w:r>
              <w:rPr>
                <w:rFonts w:asciiTheme="minorHAnsi" w:hAnsiTheme="minorHAnsi"/>
                <w:sz w:val="20"/>
              </w:rPr>
              <w:t>88,6 %</w:t>
            </w:r>
          </w:p>
        </w:tc>
      </w:tr>
      <w:tr w:rsidR="00E27519" w14:paraId="2BCE54DA" w14:textId="77777777">
        <w:trPr>
          <w:trHeight w:val="20"/>
        </w:trPr>
        <w:tc>
          <w:tcPr>
            <w:tcW w:w="2596" w:type="dxa"/>
            <w:tcBorders>
              <w:left w:val="single" w:sz="0" w:space="0" w:color="000000"/>
              <w:bottom w:val="single" w:sz="0" w:space="0" w:color="000000"/>
            </w:tcBorders>
            <w:shd w:val="clear" w:color="auto" w:fill="auto"/>
          </w:tcPr>
          <w:p w14:paraId="34864106" w14:textId="77777777" w:rsidR="00E27519" w:rsidRDefault="0003178C">
            <w:pPr>
              <w:pStyle w:val="Contenutotabella"/>
              <w:rPr>
                <w:rFonts w:asciiTheme="minorHAnsi" w:hAnsiTheme="minorHAnsi"/>
                <w:sz w:val="20"/>
              </w:rPr>
            </w:pPr>
            <w:r>
              <w:rPr>
                <w:rFonts w:asciiTheme="minorHAnsi" w:hAnsiTheme="minorHAnsi"/>
                <w:sz w:val="20"/>
              </w:rPr>
              <w:t xml:space="preserve">Meningococco 36 mesi </w:t>
            </w:r>
          </w:p>
        </w:tc>
        <w:tc>
          <w:tcPr>
            <w:tcW w:w="3357" w:type="dxa"/>
            <w:tcBorders>
              <w:left w:val="single" w:sz="0" w:space="0" w:color="000000"/>
              <w:bottom w:val="single" w:sz="0" w:space="0" w:color="000000"/>
            </w:tcBorders>
            <w:shd w:val="clear" w:color="auto" w:fill="auto"/>
          </w:tcPr>
          <w:p w14:paraId="1D7942F2" w14:textId="77777777" w:rsidR="00E27519" w:rsidRDefault="0003178C">
            <w:pPr>
              <w:pStyle w:val="Contenutotabella"/>
              <w:jc w:val="center"/>
              <w:rPr>
                <w:rFonts w:asciiTheme="minorHAnsi" w:hAnsiTheme="minorHAnsi"/>
                <w:sz w:val="20"/>
              </w:rPr>
            </w:pPr>
            <w:r>
              <w:rPr>
                <w:rFonts w:asciiTheme="minorHAnsi" w:hAnsiTheme="minorHAnsi"/>
                <w:sz w:val="20"/>
              </w:rPr>
              <w:t>91,8 %</w:t>
            </w:r>
          </w:p>
        </w:tc>
        <w:tc>
          <w:tcPr>
            <w:tcW w:w="4251" w:type="dxa"/>
            <w:tcBorders>
              <w:left w:val="single" w:sz="0" w:space="0" w:color="000000"/>
              <w:bottom w:val="single" w:sz="0" w:space="0" w:color="000000"/>
              <w:right w:val="single" w:sz="0" w:space="0" w:color="000000"/>
            </w:tcBorders>
            <w:shd w:val="clear" w:color="auto" w:fill="auto"/>
          </w:tcPr>
          <w:p w14:paraId="500A077E" w14:textId="77777777" w:rsidR="00E27519" w:rsidRDefault="0003178C">
            <w:pPr>
              <w:pStyle w:val="Contenutotabella"/>
              <w:jc w:val="center"/>
              <w:rPr>
                <w:rFonts w:asciiTheme="minorHAnsi" w:hAnsiTheme="minorHAnsi"/>
                <w:sz w:val="20"/>
              </w:rPr>
            </w:pPr>
            <w:r>
              <w:rPr>
                <w:rFonts w:asciiTheme="minorHAnsi" w:hAnsiTheme="minorHAnsi"/>
                <w:sz w:val="20"/>
              </w:rPr>
              <w:t>89,1 %</w:t>
            </w:r>
          </w:p>
        </w:tc>
      </w:tr>
      <w:tr w:rsidR="00E27519" w14:paraId="27A4F7FC" w14:textId="77777777">
        <w:trPr>
          <w:trHeight w:val="20"/>
        </w:trPr>
        <w:tc>
          <w:tcPr>
            <w:tcW w:w="2596" w:type="dxa"/>
            <w:tcBorders>
              <w:left w:val="single" w:sz="0" w:space="0" w:color="000000"/>
              <w:bottom w:val="single" w:sz="0" w:space="0" w:color="000000"/>
            </w:tcBorders>
            <w:shd w:val="clear" w:color="auto" w:fill="auto"/>
          </w:tcPr>
          <w:p w14:paraId="2599EE23" w14:textId="77777777" w:rsidR="00E27519" w:rsidRDefault="0003178C">
            <w:pPr>
              <w:pStyle w:val="Contenutotabella"/>
              <w:rPr>
                <w:rFonts w:asciiTheme="minorHAnsi" w:hAnsiTheme="minorHAnsi"/>
                <w:sz w:val="20"/>
              </w:rPr>
            </w:pPr>
            <w:r>
              <w:rPr>
                <w:rFonts w:asciiTheme="minorHAnsi" w:hAnsiTheme="minorHAnsi"/>
                <w:sz w:val="20"/>
              </w:rPr>
              <w:t xml:space="preserve">Difterite 16 </w:t>
            </w:r>
            <w:proofErr w:type="spellStart"/>
            <w:r>
              <w:rPr>
                <w:rFonts w:asciiTheme="minorHAnsi" w:hAnsiTheme="minorHAnsi"/>
                <w:sz w:val="20"/>
              </w:rPr>
              <w:t>enni</w:t>
            </w:r>
            <w:proofErr w:type="spellEnd"/>
            <w:r>
              <w:rPr>
                <w:rFonts w:asciiTheme="minorHAnsi" w:hAnsiTheme="minorHAnsi"/>
                <w:sz w:val="20"/>
              </w:rPr>
              <w:t xml:space="preserve"> </w:t>
            </w:r>
          </w:p>
        </w:tc>
        <w:tc>
          <w:tcPr>
            <w:tcW w:w="3357" w:type="dxa"/>
            <w:tcBorders>
              <w:left w:val="single" w:sz="0" w:space="0" w:color="000000"/>
              <w:bottom w:val="single" w:sz="0" w:space="0" w:color="000000"/>
            </w:tcBorders>
            <w:shd w:val="clear" w:color="auto" w:fill="auto"/>
          </w:tcPr>
          <w:p w14:paraId="1D517E5F" w14:textId="77777777" w:rsidR="00E27519" w:rsidRDefault="0003178C">
            <w:pPr>
              <w:pStyle w:val="Contenutotabella"/>
              <w:jc w:val="center"/>
              <w:rPr>
                <w:rFonts w:asciiTheme="minorHAnsi" w:hAnsiTheme="minorHAnsi"/>
                <w:sz w:val="20"/>
              </w:rPr>
            </w:pPr>
            <w:r>
              <w:rPr>
                <w:rFonts w:asciiTheme="minorHAnsi" w:hAnsiTheme="minorHAnsi"/>
                <w:sz w:val="20"/>
              </w:rPr>
              <w:t>87,5 %</w:t>
            </w:r>
          </w:p>
        </w:tc>
        <w:tc>
          <w:tcPr>
            <w:tcW w:w="4251" w:type="dxa"/>
            <w:tcBorders>
              <w:left w:val="single" w:sz="0" w:space="0" w:color="000000"/>
              <w:bottom w:val="single" w:sz="0" w:space="0" w:color="000000"/>
              <w:right w:val="single" w:sz="0" w:space="0" w:color="000000"/>
            </w:tcBorders>
            <w:shd w:val="clear" w:color="auto" w:fill="auto"/>
          </w:tcPr>
          <w:p w14:paraId="5A69CB31" w14:textId="77777777" w:rsidR="00E27519" w:rsidRDefault="0003178C">
            <w:pPr>
              <w:pStyle w:val="Contenutotabella"/>
              <w:jc w:val="center"/>
              <w:rPr>
                <w:rFonts w:asciiTheme="minorHAnsi" w:hAnsiTheme="minorHAnsi"/>
                <w:sz w:val="20"/>
              </w:rPr>
            </w:pPr>
            <w:r>
              <w:rPr>
                <w:rFonts w:asciiTheme="minorHAnsi" w:hAnsiTheme="minorHAnsi"/>
                <w:sz w:val="20"/>
              </w:rPr>
              <w:t>85,6 %</w:t>
            </w:r>
          </w:p>
        </w:tc>
      </w:tr>
      <w:tr w:rsidR="00E27519" w14:paraId="2AE4129F" w14:textId="77777777">
        <w:trPr>
          <w:trHeight w:val="20"/>
        </w:trPr>
        <w:tc>
          <w:tcPr>
            <w:tcW w:w="2596" w:type="dxa"/>
            <w:tcBorders>
              <w:left w:val="single" w:sz="0" w:space="0" w:color="000000"/>
              <w:bottom w:val="single" w:sz="0" w:space="0" w:color="000000"/>
            </w:tcBorders>
            <w:shd w:val="clear" w:color="auto" w:fill="auto"/>
          </w:tcPr>
          <w:p w14:paraId="7ECA4893" w14:textId="77777777" w:rsidR="00E27519" w:rsidRDefault="0003178C">
            <w:pPr>
              <w:pStyle w:val="Contenutotabella"/>
              <w:rPr>
                <w:rFonts w:asciiTheme="minorHAnsi" w:hAnsiTheme="minorHAnsi"/>
                <w:sz w:val="20"/>
              </w:rPr>
            </w:pPr>
            <w:r>
              <w:rPr>
                <w:rFonts w:asciiTheme="minorHAnsi" w:hAnsiTheme="minorHAnsi"/>
                <w:sz w:val="20"/>
              </w:rPr>
              <w:t xml:space="preserve">Tetano 16 </w:t>
            </w:r>
            <w:proofErr w:type="spellStart"/>
            <w:r>
              <w:rPr>
                <w:rFonts w:asciiTheme="minorHAnsi" w:hAnsiTheme="minorHAnsi"/>
                <w:sz w:val="20"/>
              </w:rPr>
              <w:t>enni</w:t>
            </w:r>
            <w:proofErr w:type="spellEnd"/>
          </w:p>
        </w:tc>
        <w:tc>
          <w:tcPr>
            <w:tcW w:w="3357" w:type="dxa"/>
            <w:tcBorders>
              <w:left w:val="single" w:sz="0" w:space="0" w:color="000000"/>
              <w:bottom w:val="single" w:sz="0" w:space="0" w:color="000000"/>
            </w:tcBorders>
            <w:shd w:val="clear" w:color="auto" w:fill="auto"/>
          </w:tcPr>
          <w:p w14:paraId="314F1AED" w14:textId="77777777" w:rsidR="00E27519" w:rsidRDefault="0003178C">
            <w:pPr>
              <w:pStyle w:val="Contenutotabella"/>
              <w:jc w:val="center"/>
              <w:rPr>
                <w:rFonts w:asciiTheme="minorHAnsi" w:hAnsiTheme="minorHAnsi"/>
                <w:sz w:val="20"/>
              </w:rPr>
            </w:pPr>
            <w:r>
              <w:rPr>
                <w:rFonts w:asciiTheme="minorHAnsi" w:hAnsiTheme="minorHAnsi"/>
                <w:sz w:val="20"/>
              </w:rPr>
              <w:t>87,9 %</w:t>
            </w:r>
          </w:p>
        </w:tc>
        <w:tc>
          <w:tcPr>
            <w:tcW w:w="4251" w:type="dxa"/>
            <w:tcBorders>
              <w:left w:val="single" w:sz="0" w:space="0" w:color="000000"/>
              <w:bottom w:val="single" w:sz="0" w:space="0" w:color="000000"/>
              <w:right w:val="single" w:sz="0" w:space="0" w:color="000000"/>
            </w:tcBorders>
            <w:shd w:val="clear" w:color="auto" w:fill="auto"/>
          </w:tcPr>
          <w:p w14:paraId="42C8C2C0" w14:textId="77777777" w:rsidR="00E27519" w:rsidRDefault="0003178C">
            <w:pPr>
              <w:pStyle w:val="Contenutotabella"/>
              <w:jc w:val="center"/>
              <w:rPr>
                <w:rFonts w:asciiTheme="minorHAnsi" w:hAnsiTheme="minorHAnsi"/>
                <w:sz w:val="20"/>
              </w:rPr>
            </w:pPr>
            <w:r>
              <w:rPr>
                <w:rFonts w:asciiTheme="minorHAnsi" w:hAnsiTheme="minorHAnsi"/>
                <w:sz w:val="20"/>
              </w:rPr>
              <w:t>86,2 %</w:t>
            </w:r>
          </w:p>
        </w:tc>
      </w:tr>
      <w:tr w:rsidR="00E27519" w14:paraId="28CAB6A9" w14:textId="77777777">
        <w:trPr>
          <w:trHeight w:val="20"/>
        </w:trPr>
        <w:tc>
          <w:tcPr>
            <w:tcW w:w="2596" w:type="dxa"/>
            <w:tcBorders>
              <w:left w:val="single" w:sz="0" w:space="0" w:color="000000"/>
              <w:bottom w:val="single" w:sz="0" w:space="0" w:color="000000"/>
            </w:tcBorders>
            <w:shd w:val="clear" w:color="auto" w:fill="auto"/>
          </w:tcPr>
          <w:p w14:paraId="0AAB338F" w14:textId="77777777" w:rsidR="00E27519" w:rsidRDefault="0003178C">
            <w:pPr>
              <w:pStyle w:val="Contenutotabella"/>
              <w:rPr>
                <w:rFonts w:asciiTheme="minorHAnsi" w:hAnsiTheme="minorHAnsi"/>
                <w:sz w:val="20"/>
              </w:rPr>
            </w:pPr>
            <w:r>
              <w:rPr>
                <w:rFonts w:asciiTheme="minorHAnsi" w:hAnsiTheme="minorHAnsi"/>
                <w:sz w:val="20"/>
              </w:rPr>
              <w:t xml:space="preserve">Pertosse 16 </w:t>
            </w:r>
            <w:proofErr w:type="spellStart"/>
            <w:r>
              <w:rPr>
                <w:rFonts w:asciiTheme="minorHAnsi" w:hAnsiTheme="minorHAnsi"/>
                <w:sz w:val="20"/>
              </w:rPr>
              <w:t>enni</w:t>
            </w:r>
            <w:proofErr w:type="spellEnd"/>
            <w:r>
              <w:rPr>
                <w:rFonts w:asciiTheme="minorHAnsi" w:hAnsiTheme="minorHAnsi"/>
                <w:sz w:val="20"/>
              </w:rPr>
              <w:t xml:space="preserve"> </w:t>
            </w:r>
          </w:p>
        </w:tc>
        <w:tc>
          <w:tcPr>
            <w:tcW w:w="3357" w:type="dxa"/>
            <w:tcBorders>
              <w:left w:val="single" w:sz="0" w:space="0" w:color="000000"/>
              <w:bottom w:val="single" w:sz="0" w:space="0" w:color="000000"/>
            </w:tcBorders>
            <w:shd w:val="clear" w:color="auto" w:fill="auto"/>
          </w:tcPr>
          <w:p w14:paraId="64E5A799" w14:textId="77777777" w:rsidR="00E27519" w:rsidRDefault="0003178C">
            <w:pPr>
              <w:pStyle w:val="Contenutotabella"/>
              <w:jc w:val="center"/>
              <w:rPr>
                <w:rFonts w:asciiTheme="minorHAnsi" w:hAnsiTheme="minorHAnsi"/>
                <w:sz w:val="20"/>
              </w:rPr>
            </w:pPr>
            <w:r>
              <w:rPr>
                <w:rFonts w:asciiTheme="minorHAnsi" w:hAnsiTheme="minorHAnsi"/>
                <w:sz w:val="20"/>
              </w:rPr>
              <w:t>82,9 %</w:t>
            </w:r>
          </w:p>
        </w:tc>
        <w:tc>
          <w:tcPr>
            <w:tcW w:w="4251" w:type="dxa"/>
            <w:tcBorders>
              <w:left w:val="single" w:sz="0" w:space="0" w:color="000000"/>
              <w:bottom w:val="single" w:sz="0" w:space="0" w:color="000000"/>
              <w:right w:val="single" w:sz="0" w:space="0" w:color="000000"/>
            </w:tcBorders>
            <w:shd w:val="clear" w:color="auto" w:fill="auto"/>
          </w:tcPr>
          <w:p w14:paraId="595B90B1" w14:textId="77777777" w:rsidR="00E27519" w:rsidRDefault="0003178C">
            <w:pPr>
              <w:pStyle w:val="Contenutotabella"/>
              <w:jc w:val="center"/>
              <w:rPr>
                <w:rFonts w:asciiTheme="minorHAnsi" w:hAnsiTheme="minorHAnsi"/>
                <w:sz w:val="20"/>
              </w:rPr>
            </w:pPr>
            <w:r>
              <w:rPr>
                <w:rFonts w:asciiTheme="minorHAnsi" w:hAnsiTheme="minorHAnsi"/>
                <w:sz w:val="20"/>
              </w:rPr>
              <w:t>81,5 %</w:t>
            </w:r>
          </w:p>
        </w:tc>
      </w:tr>
      <w:tr w:rsidR="00E27519" w14:paraId="31D5C931" w14:textId="77777777">
        <w:trPr>
          <w:trHeight w:val="20"/>
        </w:trPr>
        <w:tc>
          <w:tcPr>
            <w:tcW w:w="2596" w:type="dxa"/>
            <w:tcBorders>
              <w:left w:val="single" w:sz="0" w:space="0" w:color="000000"/>
              <w:bottom w:val="single" w:sz="0" w:space="0" w:color="000000"/>
            </w:tcBorders>
            <w:shd w:val="clear" w:color="auto" w:fill="auto"/>
          </w:tcPr>
          <w:p w14:paraId="03CE3B81" w14:textId="77777777" w:rsidR="00E27519" w:rsidRDefault="0003178C">
            <w:pPr>
              <w:pStyle w:val="Contenutotabella"/>
              <w:rPr>
                <w:rFonts w:asciiTheme="minorHAnsi" w:hAnsiTheme="minorHAnsi"/>
                <w:sz w:val="20"/>
              </w:rPr>
            </w:pPr>
            <w:r>
              <w:rPr>
                <w:rFonts w:asciiTheme="minorHAnsi" w:hAnsiTheme="minorHAnsi"/>
                <w:sz w:val="20"/>
              </w:rPr>
              <w:t xml:space="preserve">Morbillo 16 </w:t>
            </w:r>
            <w:proofErr w:type="spellStart"/>
            <w:r>
              <w:rPr>
                <w:rFonts w:asciiTheme="minorHAnsi" w:hAnsiTheme="minorHAnsi"/>
                <w:sz w:val="20"/>
              </w:rPr>
              <w:t>enni</w:t>
            </w:r>
            <w:proofErr w:type="spellEnd"/>
            <w:r>
              <w:rPr>
                <w:rFonts w:asciiTheme="minorHAnsi" w:hAnsiTheme="minorHAnsi"/>
                <w:sz w:val="20"/>
              </w:rPr>
              <w:t xml:space="preserve"> 1 dose </w:t>
            </w:r>
          </w:p>
        </w:tc>
        <w:tc>
          <w:tcPr>
            <w:tcW w:w="3357" w:type="dxa"/>
            <w:tcBorders>
              <w:left w:val="single" w:sz="0" w:space="0" w:color="000000"/>
              <w:bottom w:val="single" w:sz="0" w:space="0" w:color="000000"/>
            </w:tcBorders>
            <w:shd w:val="clear" w:color="auto" w:fill="auto"/>
          </w:tcPr>
          <w:p w14:paraId="19CD69A1" w14:textId="77777777" w:rsidR="00E27519" w:rsidRDefault="0003178C">
            <w:pPr>
              <w:pStyle w:val="Contenutotabella"/>
              <w:jc w:val="center"/>
              <w:rPr>
                <w:rFonts w:asciiTheme="minorHAnsi" w:hAnsiTheme="minorHAnsi"/>
                <w:sz w:val="20"/>
              </w:rPr>
            </w:pPr>
            <w:r>
              <w:rPr>
                <w:rFonts w:asciiTheme="minorHAnsi" w:hAnsiTheme="minorHAnsi"/>
                <w:sz w:val="20"/>
              </w:rPr>
              <w:t>97,5 %</w:t>
            </w:r>
          </w:p>
        </w:tc>
        <w:tc>
          <w:tcPr>
            <w:tcW w:w="4251" w:type="dxa"/>
            <w:tcBorders>
              <w:left w:val="single" w:sz="0" w:space="0" w:color="000000"/>
              <w:bottom w:val="single" w:sz="0" w:space="0" w:color="000000"/>
              <w:right w:val="single" w:sz="0" w:space="0" w:color="000000"/>
            </w:tcBorders>
            <w:shd w:val="clear" w:color="auto" w:fill="auto"/>
          </w:tcPr>
          <w:p w14:paraId="785A0DF1" w14:textId="77777777" w:rsidR="00E27519" w:rsidRDefault="0003178C">
            <w:pPr>
              <w:pStyle w:val="Contenutotabella"/>
              <w:jc w:val="center"/>
              <w:rPr>
                <w:rFonts w:asciiTheme="minorHAnsi" w:hAnsiTheme="minorHAnsi"/>
                <w:sz w:val="20"/>
              </w:rPr>
            </w:pPr>
            <w:r>
              <w:rPr>
                <w:rFonts w:asciiTheme="minorHAnsi" w:hAnsiTheme="minorHAnsi"/>
                <w:sz w:val="20"/>
              </w:rPr>
              <w:t>96,6 %</w:t>
            </w:r>
          </w:p>
        </w:tc>
      </w:tr>
      <w:tr w:rsidR="00E27519" w14:paraId="00D663A1" w14:textId="77777777">
        <w:trPr>
          <w:trHeight w:val="20"/>
        </w:trPr>
        <w:tc>
          <w:tcPr>
            <w:tcW w:w="2596" w:type="dxa"/>
            <w:tcBorders>
              <w:left w:val="single" w:sz="0" w:space="0" w:color="000000"/>
              <w:bottom w:val="single" w:sz="0" w:space="0" w:color="000000"/>
            </w:tcBorders>
            <w:shd w:val="clear" w:color="auto" w:fill="auto"/>
          </w:tcPr>
          <w:p w14:paraId="71943357" w14:textId="77777777" w:rsidR="00E27519" w:rsidRDefault="0003178C">
            <w:pPr>
              <w:pStyle w:val="Contenutotabella"/>
              <w:rPr>
                <w:rFonts w:asciiTheme="minorHAnsi" w:hAnsiTheme="minorHAnsi"/>
                <w:sz w:val="20"/>
              </w:rPr>
            </w:pPr>
            <w:r>
              <w:rPr>
                <w:rFonts w:asciiTheme="minorHAnsi" w:hAnsiTheme="minorHAnsi"/>
                <w:sz w:val="20"/>
              </w:rPr>
              <w:t xml:space="preserve">Morbillo 16 </w:t>
            </w:r>
            <w:proofErr w:type="spellStart"/>
            <w:r>
              <w:rPr>
                <w:rFonts w:asciiTheme="minorHAnsi" w:hAnsiTheme="minorHAnsi"/>
                <w:sz w:val="20"/>
              </w:rPr>
              <w:t>enni</w:t>
            </w:r>
            <w:proofErr w:type="spellEnd"/>
            <w:r>
              <w:rPr>
                <w:rFonts w:asciiTheme="minorHAnsi" w:hAnsiTheme="minorHAnsi"/>
                <w:sz w:val="20"/>
              </w:rPr>
              <w:t xml:space="preserve"> 2 dosi</w:t>
            </w:r>
          </w:p>
        </w:tc>
        <w:tc>
          <w:tcPr>
            <w:tcW w:w="3357" w:type="dxa"/>
            <w:tcBorders>
              <w:left w:val="single" w:sz="0" w:space="0" w:color="000000"/>
              <w:bottom w:val="single" w:sz="0" w:space="0" w:color="000000"/>
            </w:tcBorders>
            <w:shd w:val="clear" w:color="auto" w:fill="auto"/>
          </w:tcPr>
          <w:p w14:paraId="5D8288F0" w14:textId="77777777" w:rsidR="00E27519" w:rsidRDefault="0003178C">
            <w:pPr>
              <w:pStyle w:val="Contenutotabella"/>
              <w:jc w:val="center"/>
              <w:rPr>
                <w:rFonts w:asciiTheme="minorHAnsi" w:hAnsiTheme="minorHAnsi"/>
                <w:sz w:val="20"/>
              </w:rPr>
            </w:pPr>
            <w:r>
              <w:rPr>
                <w:rFonts w:asciiTheme="minorHAnsi" w:hAnsiTheme="minorHAnsi"/>
                <w:sz w:val="20"/>
              </w:rPr>
              <w:t>92,0 %</w:t>
            </w:r>
          </w:p>
        </w:tc>
        <w:tc>
          <w:tcPr>
            <w:tcW w:w="4251" w:type="dxa"/>
            <w:tcBorders>
              <w:left w:val="single" w:sz="0" w:space="0" w:color="000000"/>
              <w:bottom w:val="single" w:sz="0" w:space="0" w:color="000000"/>
              <w:right w:val="single" w:sz="0" w:space="0" w:color="000000"/>
            </w:tcBorders>
            <w:shd w:val="clear" w:color="auto" w:fill="auto"/>
          </w:tcPr>
          <w:p w14:paraId="73CC5499" w14:textId="77777777" w:rsidR="00E27519" w:rsidRDefault="0003178C">
            <w:pPr>
              <w:pStyle w:val="Contenutotabella"/>
              <w:jc w:val="center"/>
              <w:rPr>
                <w:rFonts w:asciiTheme="minorHAnsi" w:hAnsiTheme="minorHAnsi"/>
                <w:sz w:val="20"/>
              </w:rPr>
            </w:pPr>
            <w:r>
              <w:rPr>
                <w:rFonts w:asciiTheme="minorHAnsi" w:hAnsiTheme="minorHAnsi"/>
                <w:sz w:val="20"/>
              </w:rPr>
              <w:t>91,9 %</w:t>
            </w:r>
          </w:p>
        </w:tc>
      </w:tr>
      <w:tr w:rsidR="00E27519" w14:paraId="30607EAD" w14:textId="77777777">
        <w:trPr>
          <w:trHeight w:val="20"/>
        </w:trPr>
        <w:tc>
          <w:tcPr>
            <w:tcW w:w="2596" w:type="dxa"/>
            <w:tcBorders>
              <w:left w:val="single" w:sz="0" w:space="0" w:color="000000"/>
              <w:bottom w:val="single" w:sz="0" w:space="0" w:color="000000"/>
            </w:tcBorders>
            <w:shd w:val="clear" w:color="auto" w:fill="auto"/>
          </w:tcPr>
          <w:p w14:paraId="3BB8B649" w14:textId="77777777" w:rsidR="00E27519" w:rsidRDefault="0003178C">
            <w:pPr>
              <w:pStyle w:val="Contenutotabella"/>
              <w:rPr>
                <w:rFonts w:asciiTheme="minorHAnsi" w:hAnsiTheme="minorHAnsi"/>
                <w:sz w:val="20"/>
              </w:rPr>
            </w:pPr>
            <w:r>
              <w:rPr>
                <w:rFonts w:asciiTheme="minorHAnsi" w:hAnsiTheme="minorHAnsi"/>
                <w:sz w:val="20"/>
              </w:rPr>
              <w:t xml:space="preserve">Rosolia 16 </w:t>
            </w:r>
            <w:proofErr w:type="spellStart"/>
            <w:r>
              <w:rPr>
                <w:rFonts w:asciiTheme="minorHAnsi" w:hAnsiTheme="minorHAnsi"/>
                <w:sz w:val="20"/>
              </w:rPr>
              <w:t>enni</w:t>
            </w:r>
            <w:proofErr w:type="spellEnd"/>
            <w:r>
              <w:rPr>
                <w:rFonts w:asciiTheme="minorHAnsi" w:hAnsiTheme="minorHAnsi"/>
                <w:sz w:val="20"/>
              </w:rPr>
              <w:t xml:space="preserve"> 1 dose </w:t>
            </w:r>
          </w:p>
        </w:tc>
        <w:tc>
          <w:tcPr>
            <w:tcW w:w="3357" w:type="dxa"/>
            <w:tcBorders>
              <w:left w:val="single" w:sz="0" w:space="0" w:color="000000"/>
              <w:bottom w:val="single" w:sz="0" w:space="0" w:color="000000"/>
            </w:tcBorders>
            <w:shd w:val="clear" w:color="auto" w:fill="auto"/>
          </w:tcPr>
          <w:p w14:paraId="3835DB19" w14:textId="77777777" w:rsidR="00E27519" w:rsidRDefault="0003178C">
            <w:pPr>
              <w:pStyle w:val="Contenutotabella"/>
              <w:jc w:val="center"/>
              <w:rPr>
                <w:rFonts w:asciiTheme="minorHAnsi" w:hAnsiTheme="minorHAnsi"/>
                <w:sz w:val="20"/>
              </w:rPr>
            </w:pPr>
            <w:r>
              <w:rPr>
                <w:rFonts w:asciiTheme="minorHAnsi" w:hAnsiTheme="minorHAnsi"/>
                <w:sz w:val="20"/>
              </w:rPr>
              <w:t>97 %</w:t>
            </w:r>
          </w:p>
        </w:tc>
        <w:tc>
          <w:tcPr>
            <w:tcW w:w="4251" w:type="dxa"/>
            <w:tcBorders>
              <w:left w:val="single" w:sz="0" w:space="0" w:color="000000"/>
              <w:bottom w:val="single" w:sz="0" w:space="0" w:color="000000"/>
              <w:right w:val="single" w:sz="0" w:space="0" w:color="000000"/>
            </w:tcBorders>
            <w:shd w:val="clear" w:color="auto" w:fill="auto"/>
          </w:tcPr>
          <w:p w14:paraId="05232574" w14:textId="77777777" w:rsidR="00E27519" w:rsidRDefault="0003178C">
            <w:pPr>
              <w:pStyle w:val="Contenutotabella"/>
              <w:jc w:val="center"/>
              <w:rPr>
                <w:rFonts w:asciiTheme="minorHAnsi" w:hAnsiTheme="minorHAnsi"/>
                <w:sz w:val="20"/>
              </w:rPr>
            </w:pPr>
            <w:r>
              <w:rPr>
                <w:rFonts w:asciiTheme="minorHAnsi" w:hAnsiTheme="minorHAnsi"/>
                <w:sz w:val="20"/>
              </w:rPr>
              <w:t>96,3 %</w:t>
            </w:r>
          </w:p>
        </w:tc>
      </w:tr>
      <w:tr w:rsidR="00E27519" w14:paraId="2972A61E" w14:textId="77777777">
        <w:trPr>
          <w:trHeight w:val="20"/>
        </w:trPr>
        <w:tc>
          <w:tcPr>
            <w:tcW w:w="2596" w:type="dxa"/>
            <w:tcBorders>
              <w:left w:val="single" w:sz="0" w:space="0" w:color="000000"/>
              <w:bottom w:val="single" w:sz="0" w:space="0" w:color="000000"/>
            </w:tcBorders>
            <w:shd w:val="clear" w:color="auto" w:fill="auto"/>
          </w:tcPr>
          <w:p w14:paraId="00E87AC8" w14:textId="77777777" w:rsidR="00E27519" w:rsidRDefault="0003178C">
            <w:pPr>
              <w:pStyle w:val="Contenutotabella"/>
              <w:rPr>
                <w:rFonts w:asciiTheme="minorHAnsi" w:hAnsiTheme="minorHAnsi"/>
                <w:sz w:val="20"/>
              </w:rPr>
            </w:pPr>
            <w:r>
              <w:rPr>
                <w:rFonts w:asciiTheme="minorHAnsi" w:hAnsiTheme="minorHAnsi"/>
                <w:sz w:val="20"/>
              </w:rPr>
              <w:t xml:space="preserve">Rosolia 16 </w:t>
            </w:r>
            <w:proofErr w:type="spellStart"/>
            <w:r>
              <w:rPr>
                <w:rFonts w:asciiTheme="minorHAnsi" w:hAnsiTheme="minorHAnsi"/>
                <w:sz w:val="20"/>
              </w:rPr>
              <w:t>enni</w:t>
            </w:r>
            <w:proofErr w:type="spellEnd"/>
            <w:r>
              <w:rPr>
                <w:rFonts w:asciiTheme="minorHAnsi" w:hAnsiTheme="minorHAnsi"/>
                <w:sz w:val="20"/>
              </w:rPr>
              <w:t xml:space="preserve"> 2 dosi  </w:t>
            </w:r>
          </w:p>
        </w:tc>
        <w:tc>
          <w:tcPr>
            <w:tcW w:w="3357" w:type="dxa"/>
            <w:tcBorders>
              <w:left w:val="single" w:sz="0" w:space="0" w:color="000000"/>
              <w:bottom w:val="single" w:sz="0" w:space="0" w:color="000000"/>
            </w:tcBorders>
            <w:shd w:val="clear" w:color="auto" w:fill="auto"/>
          </w:tcPr>
          <w:p w14:paraId="71BB0C84" w14:textId="77777777" w:rsidR="00E27519" w:rsidRDefault="0003178C">
            <w:pPr>
              <w:pStyle w:val="Contenutotabella"/>
              <w:jc w:val="center"/>
              <w:rPr>
                <w:rFonts w:asciiTheme="minorHAnsi" w:hAnsiTheme="minorHAnsi"/>
                <w:sz w:val="20"/>
              </w:rPr>
            </w:pPr>
            <w:r>
              <w:rPr>
                <w:rFonts w:asciiTheme="minorHAnsi" w:hAnsiTheme="minorHAnsi"/>
                <w:sz w:val="20"/>
              </w:rPr>
              <w:t>88,9 %</w:t>
            </w:r>
          </w:p>
        </w:tc>
        <w:tc>
          <w:tcPr>
            <w:tcW w:w="4251" w:type="dxa"/>
            <w:tcBorders>
              <w:left w:val="single" w:sz="0" w:space="0" w:color="000000"/>
              <w:bottom w:val="single" w:sz="0" w:space="0" w:color="000000"/>
              <w:right w:val="single" w:sz="0" w:space="0" w:color="000000"/>
            </w:tcBorders>
            <w:shd w:val="clear" w:color="auto" w:fill="auto"/>
          </w:tcPr>
          <w:p w14:paraId="2FDC1732" w14:textId="77777777" w:rsidR="00E27519" w:rsidRDefault="0003178C">
            <w:pPr>
              <w:pStyle w:val="Contenutotabella"/>
              <w:jc w:val="center"/>
              <w:rPr>
                <w:rFonts w:asciiTheme="minorHAnsi" w:hAnsiTheme="minorHAnsi"/>
                <w:sz w:val="20"/>
              </w:rPr>
            </w:pPr>
            <w:r>
              <w:rPr>
                <w:rFonts w:asciiTheme="minorHAnsi" w:hAnsiTheme="minorHAnsi"/>
                <w:sz w:val="20"/>
              </w:rPr>
              <w:t>89,6 %</w:t>
            </w:r>
          </w:p>
        </w:tc>
      </w:tr>
      <w:tr w:rsidR="00E27519" w14:paraId="218D260D" w14:textId="77777777">
        <w:trPr>
          <w:trHeight w:val="20"/>
        </w:trPr>
        <w:tc>
          <w:tcPr>
            <w:tcW w:w="2596" w:type="dxa"/>
            <w:tcBorders>
              <w:left w:val="single" w:sz="0" w:space="0" w:color="000000"/>
              <w:bottom w:val="single" w:sz="0" w:space="0" w:color="000000"/>
            </w:tcBorders>
            <w:shd w:val="clear" w:color="auto" w:fill="auto"/>
          </w:tcPr>
          <w:p w14:paraId="2E5B9548" w14:textId="77777777" w:rsidR="00E27519" w:rsidRDefault="0003178C">
            <w:pPr>
              <w:pStyle w:val="Contenutotabella"/>
              <w:rPr>
                <w:rFonts w:asciiTheme="minorHAnsi" w:hAnsiTheme="minorHAnsi"/>
                <w:sz w:val="20"/>
              </w:rPr>
            </w:pPr>
            <w:r>
              <w:rPr>
                <w:rFonts w:asciiTheme="minorHAnsi" w:hAnsiTheme="minorHAnsi"/>
                <w:sz w:val="20"/>
              </w:rPr>
              <w:t xml:space="preserve">Meningococco 16 </w:t>
            </w:r>
            <w:proofErr w:type="spellStart"/>
            <w:r>
              <w:rPr>
                <w:rFonts w:asciiTheme="minorHAnsi" w:hAnsiTheme="minorHAnsi"/>
                <w:sz w:val="20"/>
              </w:rPr>
              <w:t>enni</w:t>
            </w:r>
            <w:proofErr w:type="spellEnd"/>
          </w:p>
        </w:tc>
        <w:tc>
          <w:tcPr>
            <w:tcW w:w="3357" w:type="dxa"/>
            <w:tcBorders>
              <w:left w:val="single" w:sz="0" w:space="0" w:color="000000"/>
              <w:bottom w:val="single" w:sz="0" w:space="0" w:color="000000"/>
            </w:tcBorders>
            <w:shd w:val="clear" w:color="auto" w:fill="auto"/>
          </w:tcPr>
          <w:p w14:paraId="0A7AB078" w14:textId="77777777" w:rsidR="00E27519" w:rsidRDefault="0003178C">
            <w:pPr>
              <w:pStyle w:val="Contenutotabella"/>
              <w:jc w:val="center"/>
              <w:rPr>
                <w:rFonts w:asciiTheme="minorHAnsi" w:hAnsiTheme="minorHAnsi"/>
                <w:sz w:val="20"/>
              </w:rPr>
            </w:pPr>
            <w:r>
              <w:rPr>
                <w:rFonts w:asciiTheme="minorHAnsi" w:hAnsiTheme="minorHAnsi"/>
                <w:sz w:val="20"/>
              </w:rPr>
              <w:t>89,8 %</w:t>
            </w:r>
          </w:p>
        </w:tc>
        <w:tc>
          <w:tcPr>
            <w:tcW w:w="4251" w:type="dxa"/>
            <w:tcBorders>
              <w:left w:val="single" w:sz="0" w:space="0" w:color="000000"/>
              <w:bottom w:val="single" w:sz="0" w:space="0" w:color="000000"/>
              <w:right w:val="single" w:sz="0" w:space="0" w:color="000000"/>
            </w:tcBorders>
            <w:shd w:val="clear" w:color="auto" w:fill="auto"/>
          </w:tcPr>
          <w:p w14:paraId="1FD09FBF" w14:textId="77777777" w:rsidR="00E27519" w:rsidRDefault="0003178C">
            <w:pPr>
              <w:pStyle w:val="Contenutotabella"/>
              <w:jc w:val="center"/>
              <w:rPr>
                <w:rFonts w:asciiTheme="minorHAnsi" w:hAnsiTheme="minorHAnsi"/>
                <w:sz w:val="20"/>
              </w:rPr>
            </w:pPr>
            <w:r>
              <w:rPr>
                <w:rFonts w:asciiTheme="minorHAnsi" w:hAnsiTheme="minorHAnsi"/>
                <w:sz w:val="20"/>
              </w:rPr>
              <w:t>84,2 %</w:t>
            </w:r>
          </w:p>
        </w:tc>
      </w:tr>
    </w:tbl>
    <w:p w14:paraId="3EF97506" w14:textId="77777777" w:rsidR="00E27519" w:rsidRDefault="00E27519">
      <w:pPr>
        <w:spacing w:before="0"/>
        <w:jc w:val="both"/>
        <w:rPr>
          <w:rFonts w:asciiTheme="minorHAnsi" w:eastAsia="Calibri" w:hAnsiTheme="minorHAnsi"/>
          <w:sz w:val="20"/>
          <w:lang w:eastAsia="en-US"/>
        </w:rPr>
      </w:pPr>
    </w:p>
    <w:p w14:paraId="030B38C8"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La copertura su HPV è stata calcolata per le coorti di nascita del 2003 e del 2004, a nostro giudizio, maggiormente rappresentative. Il dato del 2004 è probabilmente più alto in quanto la 2^ dose di alcune ragazze del 2004 era a scadenza a febbraio-gennaio 2017 e i calcoli sono stati fatti al 31 dicembre 2016. Coorte di nascita 2003: 2,9% vaccinate con una dose e 80,7% vaccinate con ciclo completo. Coorte di nascita 2004: 5,5% vaccinate con una dose e 72,9% vaccinate con ciclo completo.</w:t>
      </w:r>
    </w:p>
    <w:p w14:paraId="608DFCB6" w14:textId="77777777" w:rsidR="00E27519" w:rsidRDefault="00E27519">
      <w:pPr>
        <w:spacing w:before="0"/>
        <w:jc w:val="both"/>
        <w:rPr>
          <w:rFonts w:asciiTheme="minorHAnsi" w:eastAsia="Calibri" w:hAnsiTheme="minorHAnsi"/>
          <w:b/>
          <w:sz w:val="20"/>
          <w:lang w:eastAsia="en-US"/>
        </w:rPr>
      </w:pPr>
    </w:p>
    <w:p w14:paraId="4224CAD4" w14:textId="77777777" w:rsidR="00E27519" w:rsidRDefault="0003178C">
      <w:pPr>
        <w:pStyle w:val="Titolo3Verdana"/>
        <w:rPr>
          <w:rFonts w:asciiTheme="minorHAnsi" w:eastAsia="Calibri" w:hAnsiTheme="minorHAnsi"/>
        </w:rPr>
      </w:pPr>
      <w:bookmarkStart w:id="13" w:name="_Toc486415626"/>
      <w:r>
        <w:rPr>
          <w:rFonts w:asciiTheme="minorHAnsi" w:eastAsia="Calibri" w:hAnsiTheme="minorHAnsi"/>
        </w:rPr>
        <w:t>1.4 Salute Mentale e Dipendenze Patologiche e Promozione e Tutela della Salute nelle carceri</w:t>
      </w:r>
      <w:bookmarkEnd w:id="13"/>
    </w:p>
    <w:p w14:paraId="18860966" w14:textId="77777777" w:rsidR="00E27519" w:rsidRDefault="0003178C">
      <w:pPr>
        <w:spacing w:before="0"/>
        <w:jc w:val="both"/>
        <w:rPr>
          <w:rFonts w:eastAsia="Calibri"/>
          <w:sz w:val="20"/>
          <w:lang w:eastAsia="en-US"/>
        </w:rPr>
      </w:pPr>
      <w:r>
        <w:rPr>
          <w:rFonts w:eastAsia="Calibri"/>
          <w:sz w:val="20"/>
          <w:lang w:eastAsia="en-US"/>
        </w:rPr>
        <w:t xml:space="preserve">Nel 2016, con la Delibera n. 040 del 09/03/2016, il Direttore Generale ha approvato un protocollo d’intesa tra Azienda USL di Modena e Comune di Carpi, per la definizione delle sedi destinate a nuovi servizi sanitari, che prevede tra l'altro la creazione di una residenza sanitaria psichiatrica a trattamento intensivo. La realizzazione del progetto determinerà a regime l’ampliamento del piano terra della Palazzina attuale sede dei Servizi della Salute Mentale Adulti presso l’Ospedale di Carpi, come sede delle attività di SPDC e di RTI, rivolti all’Area Nord. La finalità della struttura nell'assetto definitivo è rappresentata dalla presa in carico dell’utenza che consenta la piena integrazione e continuità di diversi </w:t>
      </w:r>
      <w:proofErr w:type="spellStart"/>
      <w:r>
        <w:rPr>
          <w:rFonts w:eastAsia="Calibri"/>
          <w:sz w:val="20"/>
          <w:lang w:eastAsia="en-US"/>
        </w:rPr>
        <w:t>setting</w:t>
      </w:r>
      <w:proofErr w:type="spellEnd"/>
      <w:r>
        <w:rPr>
          <w:rFonts w:eastAsia="Calibri"/>
          <w:sz w:val="20"/>
          <w:lang w:eastAsia="en-US"/>
        </w:rPr>
        <w:t xml:space="preserve"> assistenziali, includendo l’attività di Residenza Sanitaria Psichiatrica e mantenendo il già presente Servizio di Diagnosi e Cura. La struttura di ricovero ospedaliero e residenziale di Carpi, a regime, si iscriverà nella rete provinciale complessiva delle strutture di ricovero e residenziali psichiatriche dell'Azienda per soddisfare completamente il fabbisogno dell'Area Nord.</w:t>
      </w:r>
    </w:p>
    <w:p w14:paraId="6923547C" w14:textId="77777777" w:rsidR="00E27519" w:rsidRDefault="0003178C">
      <w:pPr>
        <w:spacing w:before="0"/>
        <w:jc w:val="both"/>
        <w:rPr>
          <w:rFonts w:eastAsia="Calibri"/>
          <w:sz w:val="20"/>
          <w:lang w:eastAsia="en-US"/>
        </w:rPr>
      </w:pPr>
      <w:r>
        <w:rPr>
          <w:rFonts w:eastAsia="Calibri"/>
          <w:sz w:val="20"/>
          <w:lang w:eastAsia="en-US"/>
        </w:rPr>
        <w:lastRenderedPageBreak/>
        <w:t>Sono previsti il completo rinnovamento e ampliamento della superficie utile per 120 mq (32% in più rispetto agli attuali 375 mq), con nuovi locali giorno, un nuovo locale fumo e migliori spazi per gli operatori. Saranno sostituiti e adeguati alla normativa tutti gli impianti - elettrico, idraulico e di raffrescamento/riscaldamento - e una nuova coibentazione esterna garantirà maggior risparmio energetico.</w:t>
      </w:r>
    </w:p>
    <w:p w14:paraId="0B6D0F5D" w14:textId="77777777" w:rsidR="00E27519" w:rsidRDefault="00E27519">
      <w:pPr>
        <w:spacing w:before="0"/>
        <w:jc w:val="both"/>
        <w:rPr>
          <w:rFonts w:eastAsia="Calibri"/>
          <w:sz w:val="20"/>
          <w:lang w:eastAsia="en-US"/>
        </w:rPr>
      </w:pPr>
    </w:p>
    <w:p w14:paraId="71F30EFD" w14:textId="037169D8" w:rsidR="00E27519" w:rsidRDefault="0003178C">
      <w:pPr>
        <w:spacing w:before="0"/>
        <w:jc w:val="both"/>
        <w:rPr>
          <w:rFonts w:eastAsia="Calibri"/>
          <w:sz w:val="20"/>
          <w:lang w:eastAsia="en-US"/>
        </w:rPr>
      </w:pPr>
      <w:r>
        <w:rPr>
          <w:rFonts w:eastAsia="Calibri"/>
          <w:sz w:val="20"/>
          <w:lang w:eastAsia="en-US"/>
        </w:rPr>
        <w:t xml:space="preserve">L’AUSL ha deciso di avviare le attività di residenza anche prima ed indipendentemente dalla conclusione dei lavori nella Palazzina, al fine di venire incontro alle esigenze espresse dalle associazioni dei familiari. </w:t>
      </w:r>
      <w:r w:rsidR="00315DEF">
        <w:rPr>
          <w:rFonts w:eastAsia="Calibri"/>
          <w:sz w:val="20"/>
          <w:lang w:eastAsia="en-US"/>
        </w:rPr>
        <w:t>È</w:t>
      </w:r>
      <w:r>
        <w:rPr>
          <w:rFonts w:eastAsia="Calibri"/>
          <w:sz w:val="20"/>
          <w:lang w:eastAsia="en-US"/>
        </w:rPr>
        <w:t xml:space="preserve"> stata quindi individuata una soluzione per collocare, temporaneamente, in spazi del medesimo ospedale, l’attività ospedaliera di ricovero psichiatrico volontario e in TSO, che permette l’avvio della sperimentazione contestuale dell’attività di residenzialità, durante la fase di progettazione e di realizzazione dei lavori, a partire cioè da febbraio 2017. Questo progetto offre progressiva attuazione al modello concordato di presa in carico complessa del paziente con problemi psichiatrici e consente anche di valutarne l’efficacia. La sperimentazione del modello di contiguità tra le attività ospedaliera e residenziale intensiva avrà una durata di 24 mesi. Nel corso del 2016 è stata realizzata la progettazione edilizia e di funzionamento dei servizi della sede definitiva e di quella temporanea, e il progetto è arrivato alle fasi operative di avvio della sperimentazione con il trasferimento del reparto nella collocazione temporanea l’8 febbraio 2017.</w:t>
      </w:r>
    </w:p>
    <w:p w14:paraId="1493068F" w14:textId="77777777" w:rsidR="00E27519" w:rsidRDefault="00E27519">
      <w:pPr>
        <w:spacing w:before="0"/>
        <w:jc w:val="both"/>
        <w:rPr>
          <w:rFonts w:eastAsia="Calibri"/>
          <w:sz w:val="20"/>
          <w:lang w:eastAsia="en-US"/>
        </w:rPr>
      </w:pPr>
    </w:p>
    <w:p w14:paraId="676F5F28" w14:textId="77777777" w:rsidR="00E27519" w:rsidRDefault="0003178C">
      <w:pPr>
        <w:spacing w:before="0"/>
        <w:jc w:val="both"/>
        <w:rPr>
          <w:rFonts w:eastAsia="Calibri"/>
          <w:sz w:val="20"/>
          <w:lang w:eastAsia="en-US"/>
        </w:rPr>
      </w:pPr>
      <w:r>
        <w:rPr>
          <w:rFonts w:eastAsia="Calibri"/>
          <w:sz w:val="20"/>
          <w:lang w:eastAsia="en-US"/>
        </w:rPr>
        <w:t>Per quanto riguarda la promozione e tutela della salute negli istituti penitenziari, uno degli obiettivi della DGR 1003/2016 prevedeva l’estensione dello screening colon-retto ad almeno il 90% delle persone detenute con età maggiore di 50 anni: tra tutte le persone, in fascia di età 50-69 anni, detenute nel 2016, 36 sono state ritenute eleggibili all'esecuzione del test di primo livello.  A tutte (100%) è stata proposta la partecipazione al programma di Screening colon retto. Solamente una persona ha rifiutato. Quindi hanno aderito 35 su 36, il 97 % e l’obiettivo regionale è stato raggiunto.</w:t>
      </w:r>
    </w:p>
    <w:p w14:paraId="36A27F1D" w14:textId="77777777" w:rsidR="00E27519" w:rsidRDefault="0003178C">
      <w:pPr>
        <w:spacing w:before="0"/>
        <w:jc w:val="both"/>
        <w:rPr>
          <w:rFonts w:eastAsia="Calibri"/>
          <w:sz w:val="20"/>
          <w:lang w:eastAsia="en-US"/>
        </w:rPr>
      </w:pPr>
      <w:r>
        <w:rPr>
          <w:rFonts w:eastAsia="Calibri"/>
          <w:sz w:val="20"/>
          <w:lang w:eastAsia="en-US"/>
        </w:rPr>
        <w:t>Su 592 detenuti nuovi giunti (&gt;14gg) il 92% ha effettuato screening HIV, comunque proposto al 100% dei nuovi giunti.</w:t>
      </w:r>
    </w:p>
    <w:p w14:paraId="12F33F80" w14:textId="77777777" w:rsidR="00E27519" w:rsidRDefault="00E27519">
      <w:pPr>
        <w:spacing w:before="0"/>
        <w:jc w:val="both"/>
        <w:rPr>
          <w:rFonts w:asciiTheme="minorHAnsi" w:eastAsia="Calibri" w:hAnsiTheme="minorHAnsi"/>
          <w:sz w:val="20"/>
          <w:lang w:eastAsia="en-US"/>
        </w:rPr>
      </w:pPr>
    </w:p>
    <w:p w14:paraId="18D7BB50"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Sono stati realizzati diversi eventi formativi al personale:</w:t>
      </w:r>
    </w:p>
    <w:p w14:paraId="2739AD2D" w14:textId="77777777" w:rsidR="00E27519" w:rsidRDefault="0003178C">
      <w:pPr>
        <w:pStyle w:val="Paragrafoelenco2"/>
        <w:numPr>
          <w:ilvl w:val="0"/>
          <w:numId w:val="11"/>
        </w:numPr>
        <w:jc w:val="both"/>
        <w:rPr>
          <w:rFonts w:asciiTheme="minorHAnsi" w:eastAsia="Calibri" w:hAnsiTheme="minorHAnsi"/>
          <w:lang w:eastAsia="en-US"/>
        </w:rPr>
      </w:pPr>
      <w:r>
        <w:rPr>
          <w:rFonts w:asciiTheme="minorHAnsi" w:eastAsia="Calibri" w:hAnsiTheme="minorHAnsi"/>
          <w:lang w:eastAsia="en-US"/>
        </w:rPr>
        <w:t>Buone e cattive prassi nel lavoro congiunto tra Servizio sociale e Centro di salute mentale (31/03; 09/06;22/09; 15/12);</w:t>
      </w:r>
    </w:p>
    <w:p w14:paraId="6AB56B44" w14:textId="77777777" w:rsidR="00E27519" w:rsidRDefault="0003178C">
      <w:pPr>
        <w:pStyle w:val="Paragrafoelenco2"/>
        <w:numPr>
          <w:ilvl w:val="0"/>
          <w:numId w:val="11"/>
        </w:numPr>
        <w:jc w:val="both"/>
        <w:rPr>
          <w:rFonts w:asciiTheme="minorHAnsi" w:eastAsia="Calibri" w:hAnsiTheme="minorHAnsi"/>
          <w:lang w:eastAsia="en-US"/>
        </w:rPr>
      </w:pPr>
      <w:r>
        <w:rPr>
          <w:rFonts w:asciiTheme="minorHAnsi" w:eastAsia="Calibri" w:hAnsiTheme="minorHAnsi"/>
          <w:lang w:eastAsia="en-US"/>
        </w:rPr>
        <w:t>Il Lavoro Nobilita l'uomo? Dallo stress lavoro-correlato ai percorsi lavorativi protetti: le Due Facce della Luna (27/10/16);</w:t>
      </w:r>
    </w:p>
    <w:p w14:paraId="4CE0FA53" w14:textId="77777777" w:rsidR="00E27519" w:rsidRDefault="0003178C">
      <w:pPr>
        <w:pStyle w:val="Paragrafoelenco2"/>
        <w:numPr>
          <w:ilvl w:val="0"/>
          <w:numId w:val="11"/>
        </w:numPr>
        <w:jc w:val="both"/>
        <w:rPr>
          <w:rFonts w:asciiTheme="minorHAnsi" w:eastAsia="Calibri" w:hAnsiTheme="minorHAnsi"/>
          <w:lang w:eastAsia="en-US"/>
        </w:rPr>
      </w:pPr>
      <w:r>
        <w:rPr>
          <w:rFonts w:asciiTheme="minorHAnsi" w:eastAsia="Calibri" w:hAnsiTheme="minorHAnsi"/>
          <w:lang w:eastAsia="en-US"/>
        </w:rPr>
        <w:t>Confronto periodico con i professionisti dell'Area Socio-Sanitaria: assistenti sociali dell'unione del Sorbara (10/02; 20/04; 01/06; 09/11/2016);</w:t>
      </w:r>
    </w:p>
    <w:p w14:paraId="6DF02E32" w14:textId="77777777" w:rsidR="00E27519" w:rsidRDefault="0003178C">
      <w:pPr>
        <w:pStyle w:val="Paragrafoelenco2"/>
        <w:numPr>
          <w:ilvl w:val="0"/>
          <w:numId w:val="11"/>
        </w:numPr>
        <w:jc w:val="both"/>
        <w:rPr>
          <w:rFonts w:asciiTheme="minorHAnsi" w:eastAsia="Calibri" w:hAnsiTheme="minorHAnsi"/>
          <w:lang w:eastAsia="en-US"/>
        </w:rPr>
      </w:pPr>
      <w:r>
        <w:rPr>
          <w:rFonts w:asciiTheme="minorHAnsi" w:eastAsia="Calibri" w:hAnsiTheme="minorHAnsi"/>
          <w:lang w:eastAsia="en-US"/>
        </w:rPr>
        <w:t>Confronto periodico con i professionisti dell'Area Socio-Sanitaria: assistenti sociali di Castelfranco Emilia e San Cesario sul Panaro (27/01; 06/04; 08/06; 19/10/2016);</w:t>
      </w:r>
    </w:p>
    <w:p w14:paraId="32293185" w14:textId="77777777" w:rsidR="00E27519" w:rsidRDefault="0003178C">
      <w:pPr>
        <w:pStyle w:val="Paragrafoelenco2"/>
        <w:numPr>
          <w:ilvl w:val="0"/>
          <w:numId w:val="11"/>
        </w:numPr>
        <w:jc w:val="both"/>
        <w:rPr>
          <w:rFonts w:asciiTheme="minorHAnsi" w:eastAsia="Calibri" w:hAnsiTheme="minorHAnsi"/>
          <w:lang w:eastAsia="en-US"/>
        </w:rPr>
      </w:pPr>
      <w:r>
        <w:rPr>
          <w:rFonts w:asciiTheme="minorHAnsi" w:eastAsia="Calibri" w:hAnsiTheme="minorHAnsi"/>
          <w:lang w:eastAsia="en-US"/>
        </w:rPr>
        <w:t>Promuovere la salute mentale nella comunità: esperienza a confronto (24/10/16);</w:t>
      </w:r>
    </w:p>
    <w:p w14:paraId="715D90CF" w14:textId="77777777" w:rsidR="00E27519" w:rsidRDefault="0003178C">
      <w:pPr>
        <w:pStyle w:val="Paragrafoelenco2"/>
        <w:numPr>
          <w:ilvl w:val="0"/>
          <w:numId w:val="11"/>
        </w:numPr>
        <w:jc w:val="both"/>
        <w:rPr>
          <w:rFonts w:asciiTheme="minorHAnsi" w:eastAsia="Calibri" w:hAnsiTheme="minorHAnsi"/>
          <w:lang w:eastAsia="en-US"/>
        </w:rPr>
      </w:pPr>
      <w:r>
        <w:rPr>
          <w:rFonts w:asciiTheme="minorHAnsi" w:eastAsia="Calibri" w:hAnsiTheme="minorHAnsi"/>
          <w:lang w:eastAsia="en-US"/>
        </w:rPr>
        <w:t>Empowerment dei pazienti nelle scelte di politica sanitaria (24/10/16).</w:t>
      </w:r>
    </w:p>
    <w:p w14:paraId="2D8938B5" w14:textId="77777777" w:rsidR="00E27519" w:rsidRDefault="00E27519">
      <w:pPr>
        <w:spacing w:before="0"/>
        <w:jc w:val="both"/>
        <w:rPr>
          <w:rFonts w:eastAsia="Calibri"/>
          <w:sz w:val="20"/>
          <w:lang w:eastAsia="en-US"/>
        </w:rPr>
      </w:pPr>
    </w:p>
    <w:p w14:paraId="045133A0" w14:textId="77777777" w:rsidR="00E27519" w:rsidRDefault="0003178C">
      <w:pPr>
        <w:spacing w:before="0"/>
        <w:jc w:val="both"/>
        <w:rPr>
          <w:rFonts w:asciiTheme="minorHAnsi" w:eastAsia="Calibri" w:hAnsiTheme="minorHAnsi"/>
          <w:sz w:val="20"/>
          <w:lang w:eastAsia="en-US"/>
        </w:rPr>
      </w:pPr>
      <w:r>
        <w:rPr>
          <w:rFonts w:eastAsia="Calibri"/>
          <w:sz w:val="20"/>
          <w:lang w:eastAsia="en-US"/>
        </w:rPr>
        <w:t>In merito all’assistenza territoriale alle persone con disturbo dello spettro autistico (PRIA), sono stati applicati 116 protocolli diagnostici per sospetto disturbo dello spettro autistico; 113 soggetti hanno ricevuto la conferma diagnostica (ICD-10 F84.0-F84.9). Di questi ultimi, 70 hanno avuto il primo accesso al servizio nel 2016. Tutti i bambini (44/44) con sospetto disturbo dello spettro autistico hanno avuto accesso entro 30 giorni dalla richiesta. Di questi: 20 sono stati inviati dai PLS direttamente al Centro autismo, 24 sono stati inviati ai servizi territoriali tramite CUP con richiesta prioritaria.  16 adolescenti dei 33 con diagnosi di disturbo dello spettro autistico sono stati sottoposti a rivalutazione al 16° anno.</w:t>
      </w:r>
      <w:r>
        <w:rPr>
          <w:rFonts w:asciiTheme="minorHAnsi" w:eastAsia="Calibri" w:hAnsiTheme="minorHAnsi"/>
          <w:sz w:val="20"/>
          <w:lang w:eastAsia="en-US"/>
        </w:rPr>
        <w:t xml:space="preserve"> </w:t>
      </w:r>
    </w:p>
    <w:p w14:paraId="3A36399F" w14:textId="77777777" w:rsidR="00E27519" w:rsidRDefault="00E27519">
      <w:pPr>
        <w:spacing w:before="0"/>
        <w:jc w:val="both"/>
        <w:rPr>
          <w:rFonts w:eastAsia="Calibri"/>
          <w:sz w:val="20"/>
          <w:lang w:eastAsia="en-US"/>
        </w:rPr>
      </w:pPr>
    </w:p>
    <w:p w14:paraId="4D4D60F4" w14:textId="77777777" w:rsidR="00E27519" w:rsidRDefault="00E27519">
      <w:pPr>
        <w:spacing w:before="0"/>
        <w:jc w:val="both"/>
        <w:rPr>
          <w:rFonts w:eastAsia="Calibri"/>
          <w:sz w:val="20"/>
          <w:lang w:eastAsia="en-US"/>
        </w:rPr>
      </w:pPr>
    </w:p>
    <w:p w14:paraId="2C8D4277" w14:textId="77777777" w:rsidR="00E27519" w:rsidRDefault="00E27519">
      <w:pPr>
        <w:suppressAutoHyphens w:val="0"/>
        <w:spacing w:before="0"/>
        <w:jc w:val="both"/>
        <w:rPr>
          <w:rFonts w:eastAsia="Calibri"/>
          <w:sz w:val="20"/>
          <w:lang w:eastAsia="en-US"/>
        </w:rPr>
      </w:pPr>
    </w:p>
    <w:p w14:paraId="423B9032" w14:textId="77777777" w:rsidR="00E27519" w:rsidRDefault="0003178C">
      <w:pPr>
        <w:suppressAutoHyphens w:val="0"/>
        <w:spacing w:before="0"/>
        <w:jc w:val="both"/>
        <w:rPr>
          <w:rFonts w:eastAsia="Calibri"/>
          <w:sz w:val="20"/>
          <w:lang w:eastAsia="en-US"/>
        </w:rPr>
      </w:pPr>
      <w:r>
        <w:rPr>
          <w:rFonts w:eastAsia="Calibri"/>
          <w:sz w:val="20"/>
          <w:lang w:eastAsia="en-US"/>
        </w:rPr>
        <w:t xml:space="preserve">Sono stati realizzati degli interventi info-educativi, in particolare 31 gruppi di informazione tenuti dai promotori di salute; 143 persone coinvolte, di cui 112 persone coinvolte in incontri individuali. </w:t>
      </w:r>
    </w:p>
    <w:p w14:paraId="02179427" w14:textId="77777777" w:rsidR="00E27519" w:rsidRDefault="0003178C">
      <w:pPr>
        <w:suppressAutoHyphens w:val="0"/>
        <w:spacing w:before="0"/>
        <w:jc w:val="both"/>
        <w:rPr>
          <w:rFonts w:eastAsia="Calibri"/>
          <w:sz w:val="20"/>
          <w:lang w:eastAsia="en-US"/>
        </w:rPr>
      </w:pPr>
      <w:r>
        <w:rPr>
          <w:rFonts w:eastAsia="Calibri"/>
          <w:sz w:val="20"/>
          <w:lang w:eastAsia="en-US"/>
        </w:rPr>
        <w:t>L'Azienda USL di Modena ha redatto la carta dei servizi della sanità penitenziaria, visionabile sul sito aziendale al seguente link: http://www.ausl.mo.it/flex/cm/pages/ServeBLOB.php/L/IT/IDPagina/13417</w:t>
      </w:r>
    </w:p>
    <w:p w14:paraId="5D9B424E" w14:textId="77777777" w:rsidR="00E27519" w:rsidRDefault="00E27519">
      <w:pPr>
        <w:suppressAutoHyphens w:val="0"/>
        <w:spacing w:before="0"/>
        <w:rPr>
          <w:rFonts w:eastAsia="Calibri"/>
          <w:b/>
          <w:sz w:val="20"/>
          <w:lang w:eastAsia="en-US"/>
        </w:rPr>
      </w:pPr>
    </w:p>
    <w:p w14:paraId="284B95A3" w14:textId="77777777" w:rsidR="00E27519" w:rsidRDefault="0003178C">
      <w:pPr>
        <w:suppressAutoHyphens w:val="0"/>
        <w:spacing w:before="0"/>
        <w:jc w:val="both"/>
        <w:rPr>
          <w:rFonts w:eastAsia="Calibri"/>
          <w:sz w:val="20"/>
          <w:lang w:eastAsia="en-US"/>
        </w:rPr>
      </w:pPr>
      <w:r>
        <w:rPr>
          <w:rFonts w:eastAsia="Calibri"/>
          <w:sz w:val="20"/>
          <w:lang w:eastAsia="en-US"/>
        </w:rPr>
        <w:t>È stato sottoscritto il Protocollo per il Rischio Suicidario nelle carceri ed è stato pienamente applicato al 100% degli utenti a rischio (669 utenti valutati all'ingresso, attivata consulenza per 239 che presentavano un rischio suicidario di media gravità); 118 utenti in trattamento per rischio suicidario (di cui 89 a Modena e 29 a Castelfranco Emilia) con un totale di 616 prestazioni.</w:t>
      </w:r>
    </w:p>
    <w:p w14:paraId="76B85CE3" w14:textId="77777777" w:rsidR="00E27519" w:rsidRDefault="00E27519">
      <w:pPr>
        <w:suppressAutoHyphens w:val="0"/>
        <w:spacing w:before="0"/>
        <w:rPr>
          <w:rFonts w:eastAsia="Calibri"/>
          <w:b/>
          <w:sz w:val="20"/>
          <w:lang w:eastAsia="en-US"/>
        </w:rPr>
      </w:pPr>
    </w:p>
    <w:p w14:paraId="19D06608" w14:textId="77777777" w:rsidR="00E27519" w:rsidRDefault="0003178C">
      <w:pPr>
        <w:pStyle w:val="Titolo3Verdana"/>
        <w:rPr>
          <w:rFonts w:asciiTheme="minorHAnsi" w:eastAsia="Calibri" w:hAnsiTheme="minorHAnsi"/>
        </w:rPr>
      </w:pPr>
      <w:bookmarkStart w:id="14" w:name="_Toc486415627"/>
      <w:r>
        <w:rPr>
          <w:rFonts w:asciiTheme="minorHAnsi" w:eastAsia="Calibri" w:hAnsiTheme="minorHAnsi"/>
        </w:rPr>
        <w:t>1.5 Le relazioni con i portatori di interesse</w:t>
      </w:r>
      <w:bookmarkEnd w:id="14"/>
    </w:p>
    <w:p w14:paraId="6AE6F43B" w14:textId="77777777" w:rsidR="00E27519" w:rsidRDefault="0003178C">
      <w:pPr>
        <w:suppressAutoHyphens w:val="0"/>
        <w:spacing w:before="0"/>
        <w:jc w:val="both"/>
        <w:rPr>
          <w:rFonts w:eastAsia="Calibri"/>
          <w:sz w:val="20"/>
          <w:lang w:eastAsia="en-US"/>
        </w:rPr>
      </w:pPr>
      <w:r>
        <w:rPr>
          <w:rFonts w:eastAsia="Calibri"/>
          <w:sz w:val="20"/>
          <w:lang w:eastAsia="en-US"/>
        </w:rPr>
        <w:t xml:space="preserve">Nel corso del 2016, l’Azienda USL di Modena ha messo in atto diverse iniziative volte al coinvolgimento dei diversi portatori di interesse aziendali. La provincia di Modena è particolarmente ricca di associazioni di volontariato impegnate in diversi ambiti (disabilità, patologie oncologiche, malattie croniche, patologie neurologiche, </w:t>
      </w:r>
      <w:proofErr w:type="spellStart"/>
      <w:r>
        <w:rPr>
          <w:rFonts w:eastAsia="Calibri"/>
          <w:sz w:val="20"/>
          <w:lang w:eastAsia="en-US"/>
        </w:rPr>
        <w:t>etc</w:t>
      </w:r>
      <w:proofErr w:type="spellEnd"/>
      <w:r>
        <w:rPr>
          <w:rFonts w:eastAsia="Calibri"/>
          <w:sz w:val="20"/>
          <w:lang w:eastAsia="en-US"/>
        </w:rPr>
        <w:t>).</w:t>
      </w:r>
    </w:p>
    <w:p w14:paraId="39346588" w14:textId="77777777" w:rsidR="00E27519" w:rsidRDefault="0003178C">
      <w:pPr>
        <w:suppressAutoHyphens w:val="0"/>
        <w:spacing w:before="0"/>
        <w:jc w:val="both"/>
        <w:rPr>
          <w:rFonts w:eastAsia="Calibri"/>
          <w:sz w:val="20"/>
          <w:lang w:eastAsia="en-US"/>
        </w:rPr>
      </w:pPr>
      <w:r>
        <w:rPr>
          <w:rFonts w:eastAsia="Calibri"/>
          <w:sz w:val="20"/>
          <w:lang w:eastAsia="en-US"/>
        </w:rPr>
        <w:t>Nel 2016 le Associazioni di volontariato che hanno formalizzato un protocollo di collaborazione con l'Azienda USL sono state 54, un numero destinato ad aumentare visti gli ottimi risultati raggiunti.</w:t>
      </w:r>
    </w:p>
    <w:p w14:paraId="2A27F40A" w14:textId="77777777" w:rsidR="00E27519" w:rsidRDefault="0003178C">
      <w:pPr>
        <w:suppressAutoHyphens w:val="0"/>
        <w:spacing w:before="0"/>
        <w:jc w:val="both"/>
        <w:rPr>
          <w:rFonts w:eastAsia="Calibri"/>
          <w:sz w:val="20"/>
          <w:lang w:eastAsia="en-US"/>
        </w:rPr>
      </w:pPr>
      <w:r>
        <w:rPr>
          <w:rFonts w:eastAsia="Calibri"/>
          <w:sz w:val="20"/>
          <w:lang w:eastAsia="en-US"/>
        </w:rPr>
        <w:t>Le Associazioni di volontariato, insieme all'Azienda USL, hanno collaborato al perseguimento degli obiettivi di miglioramento della salute e della qualità di vita della popolazione modenese.</w:t>
      </w:r>
    </w:p>
    <w:p w14:paraId="59C9F11B" w14:textId="77777777" w:rsidR="00E27519" w:rsidRDefault="0003178C">
      <w:pPr>
        <w:suppressAutoHyphens w:val="0"/>
        <w:spacing w:before="0"/>
        <w:jc w:val="both"/>
        <w:rPr>
          <w:rFonts w:eastAsia="Calibri"/>
          <w:sz w:val="20"/>
          <w:lang w:eastAsia="en-US"/>
        </w:rPr>
      </w:pPr>
      <w:r>
        <w:rPr>
          <w:rFonts w:eastAsia="Calibri"/>
          <w:sz w:val="20"/>
          <w:lang w:eastAsia="en-US"/>
        </w:rPr>
        <w:t xml:space="preserve">La rafforzata collaborazione intervenuta tra Azienda USL e le Associazioni di Volontariato è stata resa possibile anche dalla diffusione in tutto il territorio provinciale di policy in grado di operare con la massima trasparenza, imparzialità ed equità definendo modalità ed ambiti di relazione condivisi fra i diversi soggetti. L'azione condivisa e coordinata del Volontariato con l'Azienda, oltre a favorire una rete tra diversi soggetti, ha rappresentato anche la manifestazione di una cultura di cooperazione e collaborazione fra Azienda e Comunità. </w:t>
      </w:r>
    </w:p>
    <w:p w14:paraId="333391F8" w14:textId="77777777" w:rsidR="00E27519" w:rsidRDefault="0003178C">
      <w:pPr>
        <w:suppressAutoHyphens w:val="0"/>
        <w:spacing w:before="0"/>
        <w:jc w:val="both"/>
        <w:rPr>
          <w:rFonts w:eastAsia="Calibri"/>
          <w:sz w:val="20"/>
          <w:lang w:eastAsia="en-US"/>
        </w:rPr>
      </w:pPr>
      <w:r>
        <w:rPr>
          <w:rFonts w:eastAsia="Calibri"/>
          <w:sz w:val="20"/>
          <w:lang w:eastAsia="en-US"/>
        </w:rPr>
        <w:t>Con le associazioni di volontariato, si è continuato a valorizzare il rapporto con l'associazionismo, con particolare riferimento alla rappresentatività e all'impegno dei Comitati Consultivi Misti (CCM). Nel contesto provinciale sono presenti 7 CCM nell’Azienda USL (1 in ogni Distretto sanitario) e 1 CCM nel Policlinico, operativi anche attraverso un tavolo di coordinamento, il Comitato di Coordinamento Interaziendale (CCI). Durante l’anno sono stati organizzati alcuni incontri di coordinamento a cui sono state periodicamente invitate le direzioni aziendali per la presentazione e la discussione di temi particolarmente rilevanti fra i quali il piano di contenimento dei tempi d'attesa delle prestazioni specialistiche ambulatoriali, il progetto di miglioramento del servizio di mediazione interculturale e il progetto “Spezza l’attesa” al Pronto Soccorso.</w:t>
      </w:r>
    </w:p>
    <w:p w14:paraId="5C73A5EB" w14:textId="77777777" w:rsidR="00E27519" w:rsidRDefault="0003178C">
      <w:pPr>
        <w:suppressAutoHyphens w:val="0"/>
        <w:spacing w:before="0"/>
        <w:jc w:val="both"/>
        <w:rPr>
          <w:rFonts w:eastAsia="Calibri"/>
          <w:sz w:val="20"/>
          <w:lang w:eastAsia="en-US"/>
        </w:rPr>
      </w:pPr>
      <w:r>
        <w:rPr>
          <w:rFonts w:eastAsia="Calibri"/>
          <w:sz w:val="20"/>
          <w:lang w:eastAsia="en-US"/>
        </w:rPr>
        <w:t xml:space="preserve">La convenzione stipulata nel luglio del 2015 tra Tribunale di Modena e l’Azienda USL di Modena per lo svolgimento del lavoro di pubblica utilità all’interno degli ospedali e delle strutture sanitarie è proseguita, come da accordo, anche nel 2016, convenzione che si aggiunge a quella già operativa per la violazione del codice della strada. In base a questo accordo, che ha infatti una durata di tre anni, l’Azienda sanitaria potrà utilizzare nei propri servizi persone per le quali il giudice decide la sospensione del processo con “messa alla prova” in lavori di pubblica utilità, una possibilità introdotta dalla legge 67 del 2014 per i reati meno gravi. </w:t>
      </w:r>
    </w:p>
    <w:p w14:paraId="5BB10581" w14:textId="77777777" w:rsidR="00E27519" w:rsidRDefault="0003178C">
      <w:pPr>
        <w:suppressAutoHyphens w:val="0"/>
        <w:spacing w:before="0"/>
        <w:jc w:val="both"/>
        <w:rPr>
          <w:rFonts w:eastAsia="Calibri"/>
          <w:sz w:val="20"/>
          <w:lang w:eastAsia="en-US"/>
        </w:rPr>
      </w:pPr>
      <w:r>
        <w:rPr>
          <w:rFonts w:eastAsia="Calibri"/>
          <w:sz w:val="20"/>
          <w:lang w:eastAsia="en-US"/>
        </w:rPr>
        <w:t>Prosegue anche per il 2016 la collaborazione con Tribunale di Modena, Provincia,  Comune di Modena e Centro Servizi Volontariato che ha portato all’apertura di uno sportello informativo/formativo relativo all’istituto dell’Amministratore di Sostegno presso il Tribunale di Modena che sia di supporto alla Cancelleria e possa dare avvio ad una sinergia tra il Tribunale di Modena e gli uffici territoriali delle Istituzioni, interessate al miglior disbrigo delle pratiche inerenti l’Amministrazione di Sostegno per le ricadute sul benessere della collettività.</w:t>
      </w:r>
    </w:p>
    <w:p w14:paraId="312D1D9A" w14:textId="77777777" w:rsidR="00E27519" w:rsidRDefault="0003178C">
      <w:pPr>
        <w:suppressAutoHyphens w:val="0"/>
        <w:spacing w:before="0"/>
        <w:jc w:val="both"/>
        <w:rPr>
          <w:rFonts w:eastAsia="Calibri"/>
          <w:sz w:val="20"/>
          <w:lang w:eastAsia="en-US"/>
        </w:rPr>
      </w:pPr>
      <w:r>
        <w:rPr>
          <w:rFonts w:eastAsia="Calibri"/>
          <w:sz w:val="20"/>
          <w:lang w:eastAsia="en-US"/>
        </w:rPr>
        <w:lastRenderedPageBreak/>
        <w:t>Nel 2016 sono stati conclusi importanti accordi con il mondo delle imprese, in particolare con la fondazione Democenter-</w:t>
      </w:r>
      <w:proofErr w:type="spellStart"/>
      <w:r>
        <w:rPr>
          <w:rFonts w:eastAsia="Calibri"/>
          <w:sz w:val="20"/>
          <w:lang w:eastAsia="en-US"/>
        </w:rPr>
        <w:t>Sipe</w:t>
      </w:r>
      <w:proofErr w:type="spellEnd"/>
      <w:r>
        <w:rPr>
          <w:rFonts w:eastAsia="Calibri"/>
          <w:sz w:val="20"/>
          <w:lang w:eastAsia="en-US"/>
        </w:rPr>
        <w:t>: fondazione senza scopo di lucro che da anni svolge attività nel settore della ricerca dell'innovazione tecnologica occupandosi del supporto alle imprese del territorio per lo sviluppo dell’innovazione e la realizzazione di progetti innovativi volti ad aumentare la loro competitività sul mercato di riferimento. Democenter-</w:t>
      </w:r>
      <w:proofErr w:type="spellStart"/>
      <w:r>
        <w:rPr>
          <w:rFonts w:eastAsia="Calibri"/>
          <w:sz w:val="20"/>
          <w:lang w:eastAsia="en-US"/>
        </w:rPr>
        <w:t>Sipe</w:t>
      </w:r>
      <w:proofErr w:type="spellEnd"/>
      <w:r>
        <w:rPr>
          <w:rFonts w:eastAsia="Calibri"/>
          <w:sz w:val="20"/>
          <w:lang w:eastAsia="en-US"/>
        </w:rPr>
        <w:t xml:space="preserve"> è accreditata nella Rete Regionale Alta Tecnologia dell'Emilia Romagna come Centro per l'innovazione e Laboratorio di ricerca industriale e utilizza il sistema di gestione per la qualità conforme alle norme UNI EN ISO 9001 e UNI EN ISO 13485.</w:t>
      </w:r>
    </w:p>
    <w:p w14:paraId="491FDB05" w14:textId="77777777" w:rsidR="00E27519" w:rsidRDefault="00E27519">
      <w:pPr>
        <w:suppressAutoHyphens w:val="0"/>
        <w:spacing w:before="0"/>
        <w:rPr>
          <w:rFonts w:eastAsia="Calibri"/>
          <w:b/>
          <w:sz w:val="20"/>
          <w:lang w:eastAsia="en-US"/>
        </w:rPr>
      </w:pPr>
    </w:p>
    <w:p w14:paraId="662228E1" w14:textId="77777777" w:rsidR="00E27519" w:rsidRDefault="0003178C">
      <w:pPr>
        <w:pStyle w:val="Titolo3Verdana"/>
        <w:rPr>
          <w:rFonts w:asciiTheme="minorHAnsi" w:eastAsia="Calibri" w:hAnsiTheme="minorHAnsi"/>
        </w:rPr>
      </w:pPr>
      <w:bookmarkStart w:id="15" w:name="_Toc486415628"/>
      <w:r>
        <w:rPr>
          <w:rFonts w:asciiTheme="minorHAnsi" w:eastAsia="Calibri" w:hAnsiTheme="minorHAnsi"/>
        </w:rPr>
        <w:t>1.6 Prevenzione degli eventi avversi e gestione dei sinistri</w:t>
      </w:r>
      <w:bookmarkEnd w:id="15"/>
    </w:p>
    <w:p w14:paraId="47872651" w14:textId="77777777" w:rsidR="00E27519" w:rsidRDefault="0003178C">
      <w:pPr>
        <w:spacing w:before="0"/>
        <w:jc w:val="both"/>
        <w:rPr>
          <w:rFonts w:eastAsia="Calibri"/>
          <w:sz w:val="20"/>
          <w:lang w:eastAsia="en-US"/>
        </w:rPr>
      </w:pPr>
      <w:r>
        <w:rPr>
          <w:rFonts w:eastAsia="Calibri"/>
          <w:sz w:val="20"/>
          <w:lang w:eastAsia="en-US"/>
        </w:rPr>
        <w:t xml:space="preserve">Dal 1° dicembre 2015 l’Azienda è entrata nella fase sperimentale del “Programma Regionale per la prevenzione degli eventi avversi e la gestione diretta dei sinistri derivanti da responsabilità civile nelle aziende sanitarie” (con delibera di Giunta Regionale n. 1889/2015), che persegue la tutela complessiva della salute degli utenti che si rivolgono al sistema sanitario regionale, traducendosi nella presa in carico della persona anche rispetto ai danni eventualmente causati dall’attività sanitaria. </w:t>
      </w:r>
    </w:p>
    <w:p w14:paraId="26D5BE74" w14:textId="77777777" w:rsidR="00E27519" w:rsidRDefault="0003178C">
      <w:pPr>
        <w:spacing w:before="0"/>
        <w:jc w:val="both"/>
        <w:rPr>
          <w:rFonts w:eastAsia="Calibri"/>
          <w:sz w:val="20"/>
          <w:lang w:eastAsia="en-US"/>
        </w:rPr>
      </w:pPr>
      <w:r>
        <w:rPr>
          <w:rFonts w:eastAsia="Calibri"/>
          <w:sz w:val="20"/>
          <w:lang w:eastAsia="en-US"/>
        </w:rPr>
        <w:t xml:space="preserve">In questo nuovo contesto, l’Azienda opera in “autoassicurazione”, finalizzata a una più soddisfacente gestione della sinistrosità con la possibilità di ridurre i tempi di definizione dei casi e quindi ridurre la attese dei cittadini rispetto alla tradizionale procedura con l’assicurazione esterna. A seguito di questo rilevante cambiamento, nel 2016 è stata effettuata una revisione degli assetti organizzativi/gestionali per la presa in carico dei sinistri e la predisposizione di procedure e misure attuative per l’effettiva adesione al Programma Regionale. </w:t>
      </w:r>
    </w:p>
    <w:p w14:paraId="70F8377D" w14:textId="77777777" w:rsidR="00E27519" w:rsidRDefault="0003178C">
      <w:pPr>
        <w:spacing w:before="0"/>
        <w:jc w:val="both"/>
        <w:rPr>
          <w:rFonts w:eastAsia="Calibri"/>
          <w:sz w:val="20"/>
          <w:lang w:eastAsia="en-US"/>
        </w:rPr>
      </w:pPr>
      <w:r>
        <w:rPr>
          <w:rFonts w:eastAsia="Calibri"/>
          <w:sz w:val="20"/>
          <w:lang w:eastAsia="en-US"/>
        </w:rPr>
        <w:t xml:space="preserve">Nei grafici seguenti sono riportati i dati relativi ai sinistri denunciati nel 2015, fino a novembre, in cui l’Azienda era ancora assicurata, quelli denunciati dall’avvio della gestione diretta con dicembre 2015 e l’anno 2016. Il totale dei sinistri denunciati è stato ripartito tra sinistri respinti, pendenti e pagati dalla compagnia assicuratrice. </w:t>
      </w:r>
    </w:p>
    <w:p w14:paraId="7D759DF5" w14:textId="77777777" w:rsidR="00E27519" w:rsidRDefault="00E27519">
      <w:pPr>
        <w:spacing w:before="0"/>
        <w:jc w:val="both"/>
        <w:rPr>
          <w:rFonts w:eastAsia="Calibri"/>
          <w:sz w:val="20"/>
          <w:lang w:eastAsia="en-US"/>
        </w:rPr>
      </w:pPr>
    </w:p>
    <w:p w14:paraId="2439C168" w14:textId="77777777" w:rsidR="00E27519" w:rsidRDefault="0003178C">
      <w:pPr>
        <w:spacing w:before="0"/>
        <w:jc w:val="both"/>
        <w:rPr>
          <w:rFonts w:eastAsia="Calibri"/>
          <w:sz w:val="20"/>
          <w:lang w:eastAsia="en-US"/>
        </w:rPr>
      </w:pPr>
      <w:r>
        <w:rPr>
          <w:rFonts w:eastAsia="Calibri"/>
          <w:sz w:val="20"/>
          <w:lang w:eastAsia="en-US"/>
        </w:rPr>
        <w:t>Analogamente a quanto riportato per i sinistri assicurati, è stato indicato il numero totale dei sinistri pervenuti nel periodo di riferimento, ripartito tra sinistri respinti, pendenti e pagati dall'Azienda USL. Il dato complessivo degli anni di riferimento sarà disponibile soltanto alla definizione dei sinistri ad oggi ancora pendenti.</w:t>
      </w:r>
    </w:p>
    <w:p w14:paraId="56BD80EE" w14:textId="77777777" w:rsidR="00E27519" w:rsidRDefault="00E27519">
      <w:pPr>
        <w:spacing w:before="0"/>
        <w:jc w:val="both"/>
        <w:rPr>
          <w:rFonts w:eastAsia="Calibri"/>
          <w:sz w:val="20"/>
          <w:highlight w:val="green"/>
          <w:lang w:eastAsia="en-US"/>
        </w:rPr>
      </w:pPr>
    </w:p>
    <w:p w14:paraId="3F08159C" w14:textId="77777777" w:rsidR="00E27519" w:rsidRDefault="0003178C">
      <w:pPr>
        <w:spacing w:before="0"/>
        <w:jc w:val="center"/>
        <w:rPr>
          <w:rFonts w:eastAsia="Calibri"/>
          <w:sz w:val="20"/>
          <w:highlight w:val="green"/>
          <w:lang w:eastAsia="en-US"/>
        </w:rPr>
      </w:pPr>
      <w:r>
        <w:rPr>
          <w:noProof/>
          <w:highlight w:val="green"/>
          <w:lang w:eastAsia="it-IT" w:bidi="ar-SA"/>
        </w:rPr>
        <w:drawing>
          <wp:inline distT="0" distB="0" distL="0" distR="0" wp14:anchorId="57022DA4" wp14:editId="099DC6F2">
            <wp:extent cx="5895975" cy="2552700"/>
            <wp:effectExtent l="0" t="0" r="9525" b="0"/>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31D1C5" w14:textId="77777777" w:rsidR="00E27519" w:rsidRDefault="00E27519">
      <w:pPr>
        <w:spacing w:before="0"/>
        <w:rPr>
          <w:rFonts w:eastAsia="Calibri"/>
          <w:sz w:val="20"/>
          <w:highlight w:val="green"/>
          <w:lang w:eastAsia="en-US"/>
        </w:rPr>
      </w:pPr>
    </w:p>
    <w:p w14:paraId="76495312" w14:textId="77777777" w:rsidR="00E27519" w:rsidRDefault="0003178C">
      <w:pPr>
        <w:spacing w:before="0"/>
        <w:rPr>
          <w:rFonts w:eastAsia="Calibri"/>
          <w:sz w:val="20"/>
          <w:lang w:eastAsia="en-US"/>
        </w:rPr>
      </w:pPr>
      <w:r>
        <w:rPr>
          <w:rFonts w:eastAsia="Calibri"/>
          <w:sz w:val="20"/>
          <w:lang w:eastAsia="en-US"/>
        </w:rPr>
        <w:lastRenderedPageBreak/>
        <w:t>(*): La cui comunicazione è avvenuta nell'anno, con data dell'evento fino anche a 10 anni prima; il totale dei diversi casi può essere superiore ai sinistri comunicati perché uno stesso sinistro può seguire più strade</w:t>
      </w:r>
    </w:p>
    <w:p w14:paraId="7604D7F1" w14:textId="77777777" w:rsidR="00E27519" w:rsidRDefault="00E27519">
      <w:pPr>
        <w:spacing w:before="0"/>
        <w:rPr>
          <w:rFonts w:eastAsia="Calibri"/>
          <w:sz w:val="20"/>
          <w:highlight w:val="green"/>
          <w:lang w:eastAsia="en-US"/>
        </w:rPr>
      </w:pPr>
    </w:p>
    <w:p w14:paraId="32DD22E0" w14:textId="77777777" w:rsidR="00E27519" w:rsidRDefault="0003178C">
      <w:pPr>
        <w:spacing w:before="0"/>
        <w:jc w:val="center"/>
        <w:rPr>
          <w:rFonts w:eastAsia="Calibri"/>
          <w:sz w:val="20"/>
          <w:highlight w:val="green"/>
          <w:lang w:eastAsia="en-US"/>
        </w:rPr>
      </w:pPr>
      <w:r>
        <w:rPr>
          <w:noProof/>
          <w:highlight w:val="green"/>
          <w:lang w:eastAsia="it-IT" w:bidi="ar-SA"/>
        </w:rPr>
        <w:drawing>
          <wp:inline distT="0" distB="0" distL="0" distR="0" wp14:anchorId="04E5E7A4" wp14:editId="02F43B20">
            <wp:extent cx="4572000" cy="2743200"/>
            <wp:effectExtent l="0" t="0" r="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8FBB9F" w14:textId="77777777" w:rsidR="00E27519" w:rsidRDefault="0003178C">
      <w:pPr>
        <w:spacing w:before="0"/>
        <w:rPr>
          <w:rFonts w:eastAsia="Calibri"/>
          <w:sz w:val="20"/>
          <w:lang w:eastAsia="en-US"/>
        </w:rPr>
      </w:pPr>
      <w:r>
        <w:rPr>
          <w:rFonts w:eastAsia="Calibri"/>
          <w:sz w:val="20"/>
          <w:lang w:eastAsia="en-US"/>
        </w:rPr>
        <w:t>(**): Franchigia per i sinistri liquidati dall'Assicurazione</w:t>
      </w:r>
    </w:p>
    <w:p w14:paraId="6D1DB134" w14:textId="77777777" w:rsidR="00E27519" w:rsidRDefault="0003178C">
      <w:pPr>
        <w:suppressAutoHyphens w:val="0"/>
        <w:spacing w:before="0"/>
        <w:rPr>
          <w:rFonts w:ascii="Cambria" w:hAnsi="Cambria" w:cs="Cambria"/>
          <w:b/>
          <w:smallCaps/>
          <w:sz w:val="26"/>
        </w:rPr>
      </w:pPr>
      <w:r>
        <w:br w:type="page"/>
      </w:r>
    </w:p>
    <w:p w14:paraId="27240E0E" w14:textId="77777777" w:rsidR="00E27519" w:rsidRDefault="0003178C">
      <w:pPr>
        <w:pStyle w:val="Titolo2"/>
        <w:numPr>
          <w:ilvl w:val="1"/>
          <w:numId w:val="6"/>
        </w:numPr>
      </w:pPr>
      <w:bookmarkStart w:id="16" w:name="_Toc486415629"/>
      <w:r>
        <w:lastRenderedPageBreak/>
        <w:t>2 Politiche per la semplificazione e l’equità nell’accesso ai servizi</w:t>
      </w:r>
      <w:bookmarkEnd w:id="16"/>
    </w:p>
    <w:p w14:paraId="2D3BF3CC" w14:textId="77777777" w:rsidR="00E27519" w:rsidRDefault="0003178C">
      <w:pPr>
        <w:spacing w:before="80"/>
        <w:jc w:val="both"/>
      </w:pPr>
      <w:r>
        <w:rPr>
          <w:sz w:val="20"/>
        </w:rPr>
        <w:t>L’Azienda USL di Modena ha concentrato le proprie attività allo sviluppo della “</w:t>
      </w:r>
      <w:proofErr w:type="spellStart"/>
      <w:r>
        <w:rPr>
          <w:sz w:val="20"/>
        </w:rPr>
        <w:t>responsiveness</w:t>
      </w:r>
      <w:proofErr w:type="spellEnd"/>
      <w:r>
        <w:rPr>
          <w:sz w:val="20"/>
        </w:rPr>
        <w:t xml:space="preserve">” cioè la capacità di dare risposte efficaci ai bisogni di salute, riducendo la burocrazia perseguendo una maggiore equità nell’accesso ai servizi. </w:t>
      </w:r>
    </w:p>
    <w:p w14:paraId="7004A23D" w14:textId="77777777" w:rsidR="00E27519" w:rsidRDefault="00E27519">
      <w:pPr>
        <w:spacing w:before="0"/>
        <w:jc w:val="both"/>
        <w:rPr>
          <w:rFonts w:eastAsia="Calibri"/>
          <w:b/>
          <w:sz w:val="20"/>
          <w:highlight w:val="green"/>
          <w:lang w:eastAsia="en-US"/>
        </w:rPr>
      </w:pPr>
    </w:p>
    <w:p w14:paraId="7CD0E2C9" w14:textId="77777777" w:rsidR="00E27519" w:rsidRDefault="0003178C">
      <w:pPr>
        <w:spacing w:before="0"/>
        <w:jc w:val="both"/>
        <w:rPr>
          <w:rFonts w:asciiTheme="minorHAnsi" w:eastAsia="Calibri" w:hAnsiTheme="minorHAnsi"/>
          <w:b/>
          <w:sz w:val="20"/>
          <w:lang w:eastAsia="en-US"/>
        </w:rPr>
      </w:pPr>
      <w:r>
        <w:rPr>
          <w:rFonts w:eastAsia="Calibri"/>
          <w:b/>
          <w:sz w:val="20"/>
          <w:lang w:eastAsia="en-US"/>
        </w:rPr>
        <w:t>Case della Salute e Ospedali di Comunità attivi nella Provincia di Modena</w:t>
      </w:r>
    </w:p>
    <w:p w14:paraId="7499371F" w14:textId="77777777" w:rsidR="00E27519" w:rsidRDefault="00E27519">
      <w:pPr>
        <w:widowControl w:val="0"/>
        <w:jc w:val="both"/>
        <w:textAlignment w:val="baseline"/>
        <w:rPr>
          <w:sz w:val="18"/>
        </w:rPr>
      </w:pPr>
    </w:p>
    <w:p w14:paraId="34E49513" w14:textId="77777777" w:rsidR="00E27519" w:rsidRDefault="00E27519">
      <w:pPr>
        <w:spacing w:before="0"/>
        <w:jc w:val="both"/>
        <w:rPr>
          <w:rFonts w:asciiTheme="minorHAnsi" w:eastAsia="Calibri" w:hAnsiTheme="minorHAnsi"/>
          <w:b/>
          <w:sz w:val="20"/>
          <w:lang w:eastAsia="en-US"/>
        </w:rPr>
      </w:pPr>
    </w:p>
    <w:p w14:paraId="4037DAA3" w14:textId="77777777" w:rsidR="00E27519" w:rsidRDefault="0003178C">
      <w:pPr>
        <w:spacing w:before="0"/>
        <w:jc w:val="center"/>
        <w:rPr>
          <w:rFonts w:eastAsia="Calibri"/>
          <w:b/>
          <w:sz w:val="20"/>
          <w:lang w:eastAsia="en-US"/>
        </w:rPr>
      </w:pPr>
      <w:r>
        <w:rPr>
          <w:rFonts w:eastAsia="Calibri"/>
          <w:b/>
          <w:noProof/>
          <w:sz w:val="20"/>
          <w:lang w:eastAsia="it-IT" w:bidi="ar-SA"/>
        </w:rPr>
        <w:drawing>
          <wp:inline distT="0" distB="0" distL="0" distR="0" wp14:anchorId="6E8CE51B" wp14:editId="2E3E3CA4">
            <wp:extent cx="3903980" cy="3683635"/>
            <wp:effectExtent l="0" t="0" r="127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14339" cy="3693812"/>
                    </a:xfrm>
                    <a:prstGeom prst="rect">
                      <a:avLst/>
                    </a:prstGeom>
                    <a:noFill/>
                    <a:ln>
                      <a:noFill/>
                    </a:ln>
                  </pic:spPr>
                </pic:pic>
              </a:graphicData>
            </a:graphic>
          </wp:inline>
        </w:drawing>
      </w:r>
    </w:p>
    <w:p w14:paraId="39CB65CC" w14:textId="77777777" w:rsidR="00E27519" w:rsidRDefault="00E27519">
      <w:pPr>
        <w:spacing w:before="0"/>
        <w:jc w:val="both"/>
        <w:rPr>
          <w:rFonts w:eastAsia="Calibri"/>
          <w:b/>
          <w:sz w:val="20"/>
          <w:lang w:eastAsia="en-US"/>
        </w:rPr>
      </w:pPr>
    </w:p>
    <w:p w14:paraId="4B0D20FF" w14:textId="77777777" w:rsidR="00E27519" w:rsidRDefault="00E27519">
      <w:pPr>
        <w:spacing w:before="80"/>
        <w:jc w:val="both"/>
        <w:rPr>
          <w:sz w:val="20"/>
        </w:rPr>
      </w:pPr>
    </w:p>
    <w:p w14:paraId="51B7A0F7" w14:textId="77777777" w:rsidR="00E27519" w:rsidRDefault="0003178C">
      <w:pPr>
        <w:pStyle w:val="Titolo3Verdana"/>
        <w:rPr>
          <w:rFonts w:asciiTheme="minorHAnsi" w:eastAsia="Calibri" w:hAnsiTheme="minorHAnsi"/>
        </w:rPr>
      </w:pPr>
      <w:bookmarkStart w:id="17" w:name="_Toc486415630"/>
      <w:r>
        <w:rPr>
          <w:rFonts w:asciiTheme="minorHAnsi" w:eastAsia="Calibri" w:hAnsiTheme="minorHAnsi"/>
        </w:rPr>
        <w:t>2.1 Le Case della Salute</w:t>
      </w:r>
      <w:bookmarkEnd w:id="17"/>
      <w:r>
        <w:rPr>
          <w:rFonts w:asciiTheme="minorHAnsi" w:eastAsia="Calibri" w:hAnsiTheme="minorHAnsi"/>
        </w:rPr>
        <w:t xml:space="preserve"> </w:t>
      </w:r>
    </w:p>
    <w:p w14:paraId="0CA704C4" w14:textId="58F011BC" w:rsidR="00E27519" w:rsidRDefault="0003178C">
      <w:pPr>
        <w:spacing w:before="80"/>
        <w:jc w:val="both"/>
        <w:rPr>
          <w:sz w:val="20"/>
        </w:rPr>
      </w:pPr>
      <w:r>
        <w:rPr>
          <w:sz w:val="20"/>
        </w:rPr>
        <w:t>La Casa della Salute garantisce la risposta ai bisogni del cittadino, in una logica multidimensionale,  attraverso un processo di presa in carico unitario e la  continuità assistenziale. Gli elementi che la caratterizzano sono:</w:t>
      </w:r>
    </w:p>
    <w:p w14:paraId="7E6E8F4B" w14:textId="77777777" w:rsidR="00E27519" w:rsidRDefault="0003178C">
      <w:pPr>
        <w:pStyle w:val="Paragrafoelenco2"/>
        <w:numPr>
          <w:ilvl w:val="0"/>
          <w:numId w:val="12"/>
        </w:numPr>
        <w:spacing w:before="80"/>
        <w:jc w:val="both"/>
        <w:rPr>
          <w:rFonts w:asciiTheme="minorHAnsi" w:hAnsiTheme="minorHAnsi"/>
        </w:rPr>
      </w:pPr>
      <w:r>
        <w:rPr>
          <w:rFonts w:asciiTheme="minorHAnsi" w:hAnsiTheme="minorHAnsi"/>
        </w:rPr>
        <w:t xml:space="preserve">Accesso all’assistenza sanitaria, socio-sanitaria e socio-assistenziale in un luogo visibile e facilmente raggiungibile dalla popolazione di riferimento;  </w:t>
      </w:r>
    </w:p>
    <w:p w14:paraId="727C2402" w14:textId="0CE5445F" w:rsidR="00E27519" w:rsidRDefault="0003178C">
      <w:pPr>
        <w:pStyle w:val="Paragrafoelenco2"/>
        <w:numPr>
          <w:ilvl w:val="0"/>
          <w:numId w:val="12"/>
        </w:numPr>
        <w:spacing w:before="80"/>
        <w:jc w:val="both"/>
        <w:rPr>
          <w:rFonts w:asciiTheme="minorHAnsi" w:hAnsiTheme="minorHAnsi"/>
        </w:rPr>
      </w:pPr>
      <w:r>
        <w:rPr>
          <w:rFonts w:asciiTheme="minorHAnsi" w:hAnsiTheme="minorHAnsi"/>
        </w:rPr>
        <w:t xml:space="preserve">Individuazione e decodifica del </w:t>
      </w:r>
      <w:proofErr w:type="spellStart"/>
      <w:r>
        <w:rPr>
          <w:rFonts w:asciiTheme="minorHAnsi" w:hAnsiTheme="minorHAnsi"/>
        </w:rPr>
        <w:t>del</w:t>
      </w:r>
      <w:proofErr w:type="spellEnd"/>
      <w:r>
        <w:rPr>
          <w:rFonts w:asciiTheme="minorHAnsi" w:hAnsiTheme="minorHAnsi"/>
        </w:rPr>
        <w:t xml:space="preserve"> bisogno della persona e accompagnamento alla risposta maggiormente appropriata, programmabile e non programmabile; </w:t>
      </w:r>
    </w:p>
    <w:p w14:paraId="1F7E52FF" w14:textId="77777777" w:rsidR="00E27519" w:rsidRDefault="0003178C">
      <w:pPr>
        <w:pStyle w:val="Paragrafoelenco2"/>
        <w:numPr>
          <w:ilvl w:val="0"/>
          <w:numId w:val="12"/>
        </w:numPr>
        <w:spacing w:before="80"/>
        <w:jc w:val="both"/>
        <w:rPr>
          <w:rFonts w:asciiTheme="minorHAnsi" w:hAnsiTheme="minorHAnsi"/>
        </w:rPr>
      </w:pPr>
      <w:r>
        <w:rPr>
          <w:rFonts w:asciiTheme="minorHAnsi" w:hAnsiTheme="minorHAnsi"/>
        </w:rPr>
        <w:t>Risposta alla domanda di salute della popolazione almeno nelle 12 ore giornaliere;</w:t>
      </w:r>
    </w:p>
    <w:p w14:paraId="4C42B443" w14:textId="77777777" w:rsidR="00E27519" w:rsidRDefault="0003178C">
      <w:pPr>
        <w:pStyle w:val="Paragrafoelenco2"/>
        <w:numPr>
          <w:ilvl w:val="0"/>
          <w:numId w:val="12"/>
        </w:numPr>
        <w:spacing w:before="80"/>
        <w:jc w:val="both"/>
        <w:rPr>
          <w:rFonts w:asciiTheme="minorHAnsi" w:hAnsiTheme="minorHAnsi"/>
        </w:rPr>
      </w:pPr>
      <w:r>
        <w:rPr>
          <w:rFonts w:asciiTheme="minorHAnsi" w:hAnsiTheme="minorHAnsi"/>
        </w:rPr>
        <w:t xml:space="preserve">Presa in carico della persona secondo il paradigma della medicina d’iniziativa; </w:t>
      </w:r>
    </w:p>
    <w:p w14:paraId="360A4DF3" w14:textId="77777777" w:rsidR="00E27519" w:rsidRDefault="0003178C">
      <w:pPr>
        <w:pStyle w:val="Paragrafoelenco2"/>
        <w:numPr>
          <w:ilvl w:val="0"/>
          <w:numId w:val="12"/>
        </w:numPr>
        <w:spacing w:before="80"/>
        <w:jc w:val="both"/>
        <w:rPr>
          <w:rFonts w:asciiTheme="minorHAnsi" w:hAnsiTheme="minorHAnsi"/>
        </w:rPr>
      </w:pPr>
      <w:r>
        <w:rPr>
          <w:rFonts w:asciiTheme="minorHAnsi" w:hAnsiTheme="minorHAnsi"/>
        </w:rPr>
        <w:t>Promozione della salute, dei sani stili di vita, della diagnostica precoce</w:t>
      </w:r>
    </w:p>
    <w:p w14:paraId="445D346D" w14:textId="77777777" w:rsidR="00E27519" w:rsidRDefault="0003178C">
      <w:pPr>
        <w:pStyle w:val="Paragrafoelenco2"/>
        <w:numPr>
          <w:ilvl w:val="0"/>
          <w:numId w:val="12"/>
        </w:numPr>
        <w:spacing w:before="80"/>
        <w:jc w:val="both"/>
        <w:rPr>
          <w:rFonts w:asciiTheme="minorHAnsi" w:hAnsiTheme="minorHAnsi"/>
        </w:rPr>
      </w:pPr>
      <w:r>
        <w:rPr>
          <w:rFonts w:asciiTheme="minorHAnsi" w:hAnsiTheme="minorHAnsi"/>
        </w:rPr>
        <w:t xml:space="preserve">Attivazione di percorsi di cura multidisciplinari, che prevedono la integrazione tra servizi sanitari, ospedalieri e territoriali, e tra servizi sanitari e sociali; </w:t>
      </w:r>
    </w:p>
    <w:p w14:paraId="46B10892" w14:textId="77777777" w:rsidR="00E27519" w:rsidRDefault="0003178C">
      <w:pPr>
        <w:pStyle w:val="Paragrafoelenco2"/>
        <w:numPr>
          <w:ilvl w:val="0"/>
          <w:numId w:val="12"/>
        </w:numPr>
        <w:spacing w:before="80"/>
        <w:jc w:val="both"/>
        <w:rPr>
          <w:rFonts w:asciiTheme="minorHAnsi" w:hAnsiTheme="minorHAnsi"/>
        </w:rPr>
      </w:pPr>
      <w:r>
        <w:rPr>
          <w:rFonts w:asciiTheme="minorHAnsi" w:hAnsiTheme="minorHAnsi"/>
        </w:rPr>
        <w:lastRenderedPageBreak/>
        <w:t xml:space="preserve">Partecipazione della comunità locale, delle associazioni di cittadini, dei pazienti e caregiver. </w:t>
      </w:r>
    </w:p>
    <w:p w14:paraId="10A2B41D" w14:textId="77777777" w:rsidR="00E27519" w:rsidRDefault="0003178C">
      <w:pPr>
        <w:spacing w:before="80"/>
        <w:jc w:val="both"/>
        <w:rPr>
          <w:sz w:val="20"/>
        </w:rPr>
      </w:pPr>
      <w:r>
        <w:rPr>
          <w:sz w:val="20"/>
        </w:rPr>
        <w:t xml:space="preserve">Al fine di migliorare l’accesso dei cittadini, si è dato corso alla programmazione relativa alla realizzazione delle Case della Salute, luogo fisico e funzionale in cui si concentrano servizi ed attività, nonché luogo di definizione, erogazione e verifica del percorso di cura. </w:t>
      </w:r>
    </w:p>
    <w:p w14:paraId="4CE485AA" w14:textId="77777777" w:rsidR="00E27519" w:rsidRDefault="0003178C">
      <w:pPr>
        <w:spacing w:before="80"/>
        <w:jc w:val="both"/>
        <w:rPr>
          <w:sz w:val="20"/>
        </w:rPr>
      </w:pPr>
      <w:r>
        <w:rPr>
          <w:sz w:val="20"/>
        </w:rPr>
        <w:t xml:space="preserve">Alle 8 Case della Salute già nel 2015 in attività nel territorio (Fanano, Montefiorino, Pievepelago, Finale Emilia, Bomporto, Novi-Rovereto, Cavezzo e Concordia), sono in via di progressiva applicazione i percorsi integrati per la presa in carico del paziente </w:t>
      </w:r>
      <w:proofErr w:type="spellStart"/>
      <w:r>
        <w:rPr>
          <w:sz w:val="20"/>
        </w:rPr>
        <w:t>polipatologico</w:t>
      </w:r>
      <w:proofErr w:type="spellEnd"/>
      <w:r>
        <w:rPr>
          <w:sz w:val="20"/>
        </w:rPr>
        <w:t xml:space="preserve"> e cronico come pure le équipe di accoglienza e valutazione. </w:t>
      </w:r>
    </w:p>
    <w:p w14:paraId="7A9D40A1" w14:textId="49CC43AD"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 xml:space="preserve">Nel corso del 2016 sono state aperte le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di Guiglia, di Spilamberto,  e di Castelfranco Emilia.</w:t>
      </w:r>
      <w:r w:rsidR="009652B9">
        <w:rPr>
          <w:rFonts w:asciiTheme="minorHAnsi" w:eastAsia="Calibri" w:hAnsiTheme="minorHAnsi"/>
          <w:sz w:val="20"/>
          <w:lang w:eastAsia="en-US"/>
        </w:rPr>
        <w:t xml:space="preserve"> </w:t>
      </w:r>
      <w:r>
        <w:rPr>
          <w:rFonts w:asciiTheme="minorHAnsi" w:eastAsia="Calibri" w:hAnsiTheme="minorHAnsi"/>
          <w:sz w:val="20"/>
          <w:lang w:eastAsia="en-US"/>
        </w:rPr>
        <w:t xml:space="preserve">Sempre nel 2016 si sono avviati i lavori per la realizzazione delle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di  Modena Nord, Carpi, Mirandola e Concordia. Sono in corso di avanzata valutazione le realizzazio</w:t>
      </w:r>
      <w:r w:rsidR="009652B9">
        <w:rPr>
          <w:rFonts w:asciiTheme="minorHAnsi" w:eastAsia="Calibri" w:hAnsiTheme="minorHAnsi"/>
          <w:sz w:val="20"/>
          <w:lang w:eastAsia="en-US"/>
        </w:rPr>
        <w:t>n</w:t>
      </w:r>
      <w:r>
        <w:rPr>
          <w:rFonts w:asciiTheme="minorHAnsi" w:eastAsia="Calibri" w:hAnsiTheme="minorHAnsi"/>
          <w:sz w:val="20"/>
          <w:lang w:eastAsia="en-US"/>
        </w:rPr>
        <w:t xml:space="preserve">i  di altre 3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(Modena Sud, Montese e Formigine).</w:t>
      </w:r>
    </w:p>
    <w:p w14:paraId="155DD79B" w14:textId="77260C7E"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A seguito della programmazione regionale, sono stati avviati numerosi progetti per concretizzare il ruo</w:t>
      </w:r>
      <w:r w:rsidR="00D947E6">
        <w:rPr>
          <w:rFonts w:asciiTheme="minorHAnsi" w:eastAsia="Calibri" w:hAnsiTheme="minorHAnsi"/>
          <w:sz w:val="20"/>
          <w:lang w:eastAsia="en-US"/>
        </w:rPr>
        <w:t>l</w:t>
      </w:r>
      <w:r>
        <w:rPr>
          <w:rFonts w:asciiTheme="minorHAnsi" w:eastAsia="Calibri" w:hAnsiTheme="minorHAnsi"/>
          <w:sz w:val="20"/>
          <w:lang w:eastAsia="en-US"/>
        </w:rPr>
        <w:t xml:space="preserve">o e i processi delle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e per omogeneizzare i servizi erogati. In condivisione con i professionisti e le Associazione di patologia, è stata effettuata la stesura del protocollo di ricerca per l’utilizzo del metodo PACIC e ACIC per la presa in carico pazienti diabetici di tipo 2, da realizzare c/o le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di Bomporto,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Finale Emilia,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Alto Frignano. Questi metodi sono finalizzati alla raccolta dell’esperienza del cittadino/paziente e dell’operatore </w:t>
      </w:r>
      <w:r w:rsidR="005818C3">
        <w:rPr>
          <w:rFonts w:asciiTheme="minorHAnsi" w:eastAsia="Calibri" w:hAnsiTheme="minorHAnsi"/>
          <w:sz w:val="20"/>
          <w:lang w:eastAsia="en-US"/>
        </w:rPr>
        <w:t>ne</w:t>
      </w:r>
      <w:r>
        <w:rPr>
          <w:rFonts w:asciiTheme="minorHAnsi" w:eastAsia="Calibri" w:hAnsiTheme="minorHAnsi"/>
          <w:sz w:val="20"/>
          <w:lang w:eastAsia="en-US"/>
        </w:rPr>
        <w:t>ll’intero percorso di accesso e cura.</w:t>
      </w:r>
    </w:p>
    <w:p w14:paraId="4C251778" w14:textId="52156BE3"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 xml:space="preserve">Nelle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di Finale e Fanano è attivo il percorso della presa in carico del paziente diabetico secondo il </w:t>
      </w:r>
      <w:proofErr w:type="spellStart"/>
      <w:r>
        <w:rPr>
          <w:rFonts w:asciiTheme="minorHAnsi" w:eastAsia="Calibri" w:hAnsiTheme="minorHAnsi"/>
          <w:sz w:val="20"/>
          <w:lang w:eastAsia="en-US"/>
        </w:rPr>
        <w:t>Chronic</w:t>
      </w:r>
      <w:proofErr w:type="spellEnd"/>
      <w:r>
        <w:rPr>
          <w:rFonts w:asciiTheme="minorHAnsi" w:eastAsia="Calibri" w:hAnsiTheme="minorHAnsi"/>
          <w:sz w:val="20"/>
          <w:lang w:eastAsia="en-US"/>
        </w:rPr>
        <w:t xml:space="preserve"> Care Model. </w:t>
      </w:r>
    </w:p>
    <w:p w14:paraId="5F44EA42"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 xml:space="preserve">Per quanto riguarda la prevenzione primaria nelle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in merito alla lettura integrata del rischio cardiovascolare è stato avviato il progetto di chiamata attiva da parte dell'infermiere. Oltre alle fasi previste dal progetto nel primo anno (primo accesso ambulatoriale dell'assistito, valutazione congiunta MMG/ infermiere, secondo accesso ambulatoriale dell'assistito, rinforzo telefonico e valutazione della </w:t>
      </w:r>
      <w:proofErr w:type="spellStart"/>
      <w:r>
        <w:rPr>
          <w:rFonts w:asciiTheme="minorHAnsi" w:eastAsia="Calibri" w:hAnsiTheme="minorHAnsi"/>
          <w:sz w:val="20"/>
          <w:lang w:eastAsia="en-US"/>
        </w:rPr>
        <w:t>compliance</w:t>
      </w:r>
      <w:proofErr w:type="spellEnd"/>
      <w:r>
        <w:rPr>
          <w:rFonts w:asciiTheme="minorHAnsi" w:eastAsia="Calibri" w:hAnsiTheme="minorHAnsi"/>
          <w:sz w:val="20"/>
          <w:lang w:eastAsia="en-US"/>
        </w:rPr>
        <w:t xml:space="preserve"> rispetto ai consigli), sono state intraprese le seguenti azioni:</w:t>
      </w:r>
    </w:p>
    <w:p w14:paraId="71DBD744" w14:textId="77777777" w:rsidR="00E27519" w:rsidRDefault="0003178C">
      <w:pPr>
        <w:pStyle w:val="Paragrafoelenco2"/>
        <w:numPr>
          <w:ilvl w:val="0"/>
          <w:numId w:val="13"/>
        </w:numPr>
        <w:jc w:val="both"/>
        <w:rPr>
          <w:rFonts w:asciiTheme="minorHAnsi" w:eastAsia="Calibri" w:hAnsiTheme="minorHAnsi"/>
          <w:lang w:eastAsia="en-US"/>
        </w:rPr>
      </w:pPr>
      <w:r>
        <w:rPr>
          <w:rFonts w:asciiTheme="minorHAnsi" w:eastAsia="Calibri" w:hAnsiTheme="minorHAnsi"/>
          <w:lang w:eastAsia="en-US"/>
        </w:rPr>
        <w:t>Incontri di gruppo con la dietista dell'AUSL;</w:t>
      </w:r>
    </w:p>
    <w:p w14:paraId="19DE3E1F" w14:textId="77777777" w:rsidR="00E27519" w:rsidRDefault="0003178C">
      <w:pPr>
        <w:pStyle w:val="Paragrafoelenco2"/>
        <w:numPr>
          <w:ilvl w:val="0"/>
          <w:numId w:val="13"/>
        </w:numPr>
        <w:jc w:val="both"/>
        <w:rPr>
          <w:rFonts w:asciiTheme="minorHAnsi" w:eastAsia="Calibri" w:hAnsiTheme="minorHAnsi"/>
          <w:lang w:eastAsia="en-US"/>
        </w:rPr>
      </w:pPr>
      <w:r>
        <w:rPr>
          <w:rFonts w:asciiTheme="minorHAnsi" w:eastAsia="Calibri" w:hAnsiTheme="minorHAnsi"/>
          <w:lang w:eastAsia="en-US"/>
        </w:rPr>
        <w:t>Integrazione con il SERT per la dipendenza da fumo e da alcol;</w:t>
      </w:r>
    </w:p>
    <w:p w14:paraId="7E01ECD2" w14:textId="77777777" w:rsidR="00E27519" w:rsidRDefault="0003178C">
      <w:pPr>
        <w:pStyle w:val="Paragrafoelenco2"/>
        <w:numPr>
          <w:ilvl w:val="0"/>
          <w:numId w:val="13"/>
        </w:numPr>
        <w:jc w:val="both"/>
        <w:rPr>
          <w:rFonts w:asciiTheme="minorHAnsi" w:eastAsia="Calibri" w:hAnsiTheme="minorHAnsi"/>
          <w:lang w:eastAsia="en-US"/>
        </w:rPr>
      </w:pPr>
      <w:r>
        <w:rPr>
          <w:rFonts w:asciiTheme="minorHAnsi" w:eastAsia="Calibri" w:hAnsiTheme="minorHAnsi"/>
          <w:lang w:eastAsia="en-US"/>
        </w:rPr>
        <w:t>Contatti con palestre etiche e professionisti laureati in scienze motorie per incentivare il movimento.</w:t>
      </w:r>
    </w:p>
    <w:p w14:paraId="2AE73205" w14:textId="77777777" w:rsidR="00E27519" w:rsidRDefault="0003178C">
      <w:pPr>
        <w:jc w:val="both"/>
        <w:rPr>
          <w:rFonts w:asciiTheme="minorHAnsi" w:eastAsia="Calibri" w:hAnsiTheme="minorHAnsi"/>
          <w:sz w:val="20"/>
          <w:lang w:eastAsia="en-US"/>
        </w:rPr>
      </w:pPr>
      <w:r>
        <w:rPr>
          <w:rFonts w:asciiTheme="minorHAnsi" w:eastAsia="Calibri" w:hAnsiTheme="minorHAnsi"/>
          <w:sz w:val="20"/>
          <w:lang w:eastAsia="en-US"/>
        </w:rPr>
        <w:t xml:space="preserve">Nel 2016 è stato realizzato, inizialmente nella </w:t>
      </w:r>
      <w:proofErr w:type="spellStart"/>
      <w:r>
        <w:rPr>
          <w:rFonts w:asciiTheme="minorHAnsi" w:eastAsia="Calibri" w:hAnsiTheme="minorHAnsi"/>
          <w:sz w:val="20"/>
          <w:lang w:eastAsia="en-US"/>
        </w:rPr>
        <w:t>CdS</w:t>
      </w:r>
      <w:proofErr w:type="spellEnd"/>
      <w:r>
        <w:rPr>
          <w:rFonts w:asciiTheme="minorHAnsi" w:eastAsia="Calibri" w:hAnsiTheme="minorHAnsi"/>
          <w:sz w:val="20"/>
          <w:lang w:eastAsia="en-US"/>
        </w:rPr>
        <w:t xml:space="preserve"> di </w:t>
      </w:r>
      <w:proofErr w:type="spellStart"/>
      <w:r>
        <w:rPr>
          <w:rFonts w:asciiTheme="minorHAnsi" w:eastAsia="Calibri" w:hAnsiTheme="minorHAnsi"/>
          <w:sz w:val="20"/>
          <w:lang w:eastAsia="en-US"/>
        </w:rPr>
        <w:t>Castellfranco</w:t>
      </w:r>
      <w:proofErr w:type="spellEnd"/>
      <w:r>
        <w:rPr>
          <w:rFonts w:asciiTheme="minorHAnsi" w:eastAsia="Calibri" w:hAnsiTheme="minorHAnsi"/>
          <w:sz w:val="20"/>
          <w:lang w:eastAsia="en-US"/>
        </w:rPr>
        <w:t xml:space="preserve">, in collaborazione l’Agenzia Sanitaria e Sociale della RER e la Thomas Jefferson </w:t>
      </w:r>
      <w:proofErr w:type="spellStart"/>
      <w:r>
        <w:rPr>
          <w:rFonts w:asciiTheme="minorHAnsi" w:eastAsia="Calibri" w:hAnsiTheme="minorHAnsi"/>
          <w:sz w:val="20"/>
          <w:lang w:eastAsia="en-US"/>
        </w:rPr>
        <w:t>University</w:t>
      </w:r>
      <w:proofErr w:type="spellEnd"/>
      <w:r>
        <w:rPr>
          <w:rFonts w:asciiTheme="minorHAnsi" w:eastAsia="Calibri" w:hAnsiTheme="minorHAnsi"/>
          <w:sz w:val="20"/>
          <w:lang w:eastAsia="en-US"/>
        </w:rPr>
        <w:t>, il Progetto di Stratificazione del Rischio di Ospedalizzazione (RHO), finalizzato alla costruzione di modelli predittivi, attraverso l’uso della banca dati amministrativa sanitaria regionale, per l’identificazione dei pazienti a rischio di ospedalizzazione.</w:t>
      </w:r>
    </w:p>
    <w:p w14:paraId="0276BBDE" w14:textId="77777777" w:rsidR="00E27519" w:rsidRDefault="0003178C">
      <w:pPr>
        <w:jc w:val="both"/>
        <w:rPr>
          <w:rFonts w:asciiTheme="minorHAnsi" w:eastAsia="Calibri" w:hAnsiTheme="minorHAnsi"/>
          <w:sz w:val="20"/>
          <w:lang w:eastAsia="en-US"/>
        </w:rPr>
      </w:pPr>
      <w:r>
        <w:rPr>
          <w:rFonts w:asciiTheme="minorHAnsi" w:eastAsia="Calibri" w:hAnsiTheme="minorHAnsi"/>
          <w:sz w:val="20"/>
          <w:lang w:eastAsia="en-US"/>
        </w:rPr>
        <w:t>È stato necessario l’utilizzo di variabili indipendenti:</w:t>
      </w:r>
    </w:p>
    <w:p w14:paraId="2011E328" w14:textId="77777777" w:rsidR="00E27519" w:rsidRDefault="0003178C">
      <w:pPr>
        <w:pStyle w:val="Paragrafoelenco2"/>
        <w:numPr>
          <w:ilvl w:val="0"/>
          <w:numId w:val="14"/>
        </w:numPr>
        <w:jc w:val="both"/>
        <w:rPr>
          <w:rFonts w:asciiTheme="minorHAnsi" w:eastAsia="Calibri" w:hAnsiTheme="minorHAnsi"/>
          <w:lang w:eastAsia="en-US"/>
        </w:rPr>
      </w:pPr>
      <w:r>
        <w:rPr>
          <w:rFonts w:asciiTheme="minorHAnsi" w:eastAsia="Calibri" w:hAnsiTheme="minorHAnsi"/>
          <w:lang w:eastAsia="en-US"/>
        </w:rPr>
        <w:t>Caratteristiche demografiche;</w:t>
      </w:r>
    </w:p>
    <w:p w14:paraId="69442F27" w14:textId="77777777" w:rsidR="00E27519" w:rsidRDefault="0003178C">
      <w:pPr>
        <w:pStyle w:val="Paragrafoelenco2"/>
        <w:numPr>
          <w:ilvl w:val="0"/>
          <w:numId w:val="14"/>
        </w:numPr>
        <w:jc w:val="both"/>
        <w:rPr>
          <w:rFonts w:asciiTheme="minorHAnsi" w:eastAsia="Calibri" w:hAnsiTheme="minorHAnsi"/>
          <w:lang w:eastAsia="en-US"/>
        </w:rPr>
      </w:pPr>
      <w:r>
        <w:rPr>
          <w:rFonts w:asciiTheme="minorHAnsi" w:eastAsia="Calibri" w:hAnsiTheme="minorHAnsi"/>
          <w:lang w:eastAsia="en-US"/>
        </w:rPr>
        <w:t xml:space="preserve">Indicatori di morbilità dai dati amministrativi (presenza di patologie croniche); </w:t>
      </w:r>
    </w:p>
    <w:p w14:paraId="77D1CFCB" w14:textId="77777777" w:rsidR="00E27519" w:rsidRDefault="0003178C">
      <w:pPr>
        <w:pStyle w:val="Paragrafoelenco2"/>
        <w:numPr>
          <w:ilvl w:val="0"/>
          <w:numId w:val="14"/>
        </w:numPr>
        <w:jc w:val="both"/>
        <w:rPr>
          <w:rFonts w:asciiTheme="minorHAnsi" w:eastAsia="Calibri" w:hAnsiTheme="minorHAnsi"/>
          <w:lang w:eastAsia="en-US"/>
        </w:rPr>
      </w:pPr>
      <w:r>
        <w:rPr>
          <w:rFonts w:asciiTheme="minorHAnsi" w:eastAsia="Calibri" w:hAnsiTheme="minorHAnsi"/>
          <w:lang w:eastAsia="en-US"/>
        </w:rPr>
        <w:t>Indicatori di qualità (</w:t>
      </w:r>
      <w:proofErr w:type="spellStart"/>
      <w:r>
        <w:rPr>
          <w:rFonts w:asciiTheme="minorHAnsi" w:eastAsia="Calibri" w:hAnsiTheme="minorHAnsi"/>
          <w:lang w:eastAsia="en-US"/>
        </w:rPr>
        <w:t>poliprescrizione</w:t>
      </w:r>
      <w:proofErr w:type="spellEnd"/>
      <w:r>
        <w:rPr>
          <w:rFonts w:asciiTheme="minorHAnsi" w:eastAsia="Calibri" w:hAnsiTheme="minorHAnsi"/>
          <w:lang w:eastAsia="en-US"/>
        </w:rPr>
        <w:t xml:space="preserve"> farmaceutica, interazione potenziale farmaco-   farmaco, farmaci potenzialmente inappropriati negli anziani, aderenza alle linee guida);</w:t>
      </w:r>
    </w:p>
    <w:p w14:paraId="471D9CC6" w14:textId="77777777" w:rsidR="00E27519" w:rsidRDefault="0003178C">
      <w:pPr>
        <w:pStyle w:val="Paragrafoelenco2"/>
        <w:numPr>
          <w:ilvl w:val="0"/>
          <w:numId w:val="14"/>
        </w:numPr>
        <w:jc w:val="both"/>
        <w:rPr>
          <w:rFonts w:asciiTheme="minorHAnsi" w:eastAsia="Calibri" w:hAnsiTheme="minorHAnsi"/>
          <w:lang w:eastAsia="en-US"/>
        </w:rPr>
      </w:pPr>
      <w:r>
        <w:rPr>
          <w:rFonts w:asciiTheme="minorHAnsi" w:eastAsia="Calibri" w:hAnsiTheme="minorHAnsi"/>
          <w:lang w:eastAsia="en-US"/>
        </w:rPr>
        <w:t>Indicatori di severità di malattia.</w:t>
      </w:r>
    </w:p>
    <w:p w14:paraId="561445D9" w14:textId="77777777" w:rsidR="00E27519" w:rsidRDefault="0003178C">
      <w:pPr>
        <w:jc w:val="both"/>
        <w:rPr>
          <w:rFonts w:asciiTheme="minorHAnsi" w:eastAsia="Calibri" w:hAnsiTheme="minorHAnsi"/>
          <w:sz w:val="20"/>
          <w:lang w:eastAsia="en-US"/>
        </w:rPr>
      </w:pPr>
      <w:r>
        <w:rPr>
          <w:rFonts w:asciiTheme="minorHAnsi" w:eastAsia="Calibri" w:hAnsiTheme="minorHAnsi"/>
          <w:sz w:val="20"/>
          <w:lang w:eastAsia="en-US"/>
        </w:rPr>
        <w:t xml:space="preserve">I risultati ottenuti mostrano la seguente stratificazione dei cittadini: </w:t>
      </w:r>
    </w:p>
    <w:p w14:paraId="62C88194" w14:textId="77777777" w:rsidR="00E27519" w:rsidRDefault="0003178C">
      <w:pPr>
        <w:jc w:val="center"/>
        <w:rPr>
          <w:rFonts w:asciiTheme="minorHAnsi" w:eastAsia="Calibri" w:hAnsiTheme="minorHAnsi"/>
          <w:highlight w:val="green"/>
          <w:lang w:eastAsia="en-US"/>
        </w:rPr>
      </w:pPr>
      <w:r>
        <w:rPr>
          <w:rFonts w:asciiTheme="minorHAnsi" w:eastAsia="Calibri" w:hAnsiTheme="minorHAnsi"/>
          <w:noProof/>
          <w:highlight w:val="green"/>
          <w:lang w:eastAsia="it-IT" w:bidi="ar-SA"/>
        </w:rPr>
        <w:lastRenderedPageBreak/>
        <w:drawing>
          <wp:inline distT="0" distB="0" distL="0" distR="0" wp14:anchorId="24A9257D" wp14:editId="080FF1F3">
            <wp:extent cx="4343400" cy="18351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64386" cy="1844106"/>
                    </a:xfrm>
                    <a:prstGeom prst="rect">
                      <a:avLst/>
                    </a:prstGeom>
                    <a:noFill/>
                    <a:ln>
                      <a:noFill/>
                    </a:ln>
                  </pic:spPr>
                </pic:pic>
              </a:graphicData>
            </a:graphic>
          </wp:inline>
        </w:drawing>
      </w:r>
    </w:p>
    <w:p w14:paraId="411FEC3F" w14:textId="77777777" w:rsidR="00E27519" w:rsidRDefault="0003178C">
      <w:pPr>
        <w:jc w:val="both"/>
        <w:rPr>
          <w:rFonts w:asciiTheme="minorHAnsi" w:eastAsia="Calibri" w:hAnsiTheme="minorHAnsi"/>
          <w:sz w:val="20"/>
          <w:lang w:eastAsia="en-US"/>
        </w:rPr>
      </w:pPr>
      <w:r>
        <w:rPr>
          <w:rFonts w:asciiTheme="minorHAnsi" w:eastAsia="Calibri" w:hAnsiTheme="minorHAnsi"/>
          <w:sz w:val="20"/>
          <w:lang w:eastAsia="en-US"/>
        </w:rPr>
        <w:t>La classificazione serve a differenziare gli assistiti in modo che il MMG possa delineare una strategia di gestione specifica e personalizzata ai diversi livelli di rischio misurati.</w:t>
      </w:r>
    </w:p>
    <w:p w14:paraId="2D4E2962" w14:textId="77777777" w:rsidR="00E27519" w:rsidRDefault="00E27519">
      <w:pPr>
        <w:jc w:val="both"/>
        <w:rPr>
          <w:rFonts w:asciiTheme="minorHAnsi" w:eastAsia="Calibri" w:hAnsiTheme="minorHAnsi"/>
          <w:highlight w:val="green"/>
          <w:lang w:eastAsia="en-US"/>
        </w:rPr>
      </w:pPr>
    </w:p>
    <w:p w14:paraId="2A96511C" w14:textId="77777777" w:rsidR="00E27519" w:rsidRDefault="0003178C">
      <w:pPr>
        <w:pStyle w:val="Titolo3Verdana"/>
        <w:rPr>
          <w:rFonts w:asciiTheme="minorHAnsi" w:eastAsia="Calibri" w:hAnsiTheme="minorHAnsi"/>
        </w:rPr>
      </w:pPr>
      <w:bookmarkStart w:id="18" w:name="_Toc486415631"/>
      <w:r>
        <w:rPr>
          <w:rFonts w:asciiTheme="minorHAnsi" w:eastAsia="Calibri" w:hAnsiTheme="minorHAnsi"/>
        </w:rPr>
        <w:t>2.2 Gli Ospedali di Comunità</w:t>
      </w:r>
      <w:bookmarkEnd w:id="18"/>
    </w:p>
    <w:p w14:paraId="63B2595A" w14:textId="6DBE3514" w:rsidR="00E27519" w:rsidRDefault="0003178C">
      <w:pPr>
        <w:spacing w:before="0"/>
        <w:jc w:val="both"/>
        <w:rPr>
          <w:rFonts w:asciiTheme="minorHAnsi" w:hAnsiTheme="minorHAnsi"/>
          <w:sz w:val="20"/>
        </w:rPr>
      </w:pPr>
      <w:proofErr w:type="spellStart"/>
      <w:r>
        <w:rPr>
          <w:rFonts w:asciiTheme="minorHAnsi" w:hAnsiTheme="minorHAnsi"/>
          <w:sz w:val="20"/>
        </w:rPr>
        <w:t>L'OsCo</w:t>
      </w:r>
      <w:proofErr w:type="spellEnd"/>
      <w:r>
        <w:rPr>
          <w:rFonts w:asciiTheme="minorHAnsi" w:hAnsiTheme="minorHAnsi"/>
          <w:sz w:val="20"/>
        </w:rPr>
        <w:t xml:space="preserve"> è una struttura dedicata all’a</w:t>
      </w:r>
      <w:r w:rsidR="009652B9">
        <w:rPr>
          <w:rFonts w:asciiTheme="minorHAnsi" w:hAnsiTheme="minorHAnsi"/>
          <w:sz w:val="20"/>
        </w:rPr>
        <w:t>s</w:t>
      </w:r>
      <w:r>
        <w:rPr>
          <w:rFonts w:asciiTheme="minorHAnsi" w:hAnsiTheme="minorHAnsi"/>
          <w:sz w:val="20"/>
        </w:rPr>
        <w:t>sistenza integrata con la rete dei servizi territoriali, in grado di erogare assistenza sanitaria attraverso ricoveri a bassa intensit</w:t>
      </w:r>
      <w:r w:rsidR="00D947E6">
        <w:rPr>
          <w:rFonts w:asciiTheme="minorHAnsi" w:hAnsiTheme="minorHAnsi"/>
          <w:sz w:val="20"/>
        </w:rPr>
        <w:t xml:space="preserve">à </w:t>
      </w:r>
      <w:r>
        <w:rPr>
          <w:rFonts w:asciiTheme="minorHAnsi" w:hAnsiTheme="minorHAnsi"/>
          <w:sz w:val="20"/>
        </w:rPr>
        <w:t xml:space="preserve">e di breve durata, con modelli assistenziali intermedi tra l’assistenza domiciliare e l’ospedalizzazione. </w:t>
      </w:r>
      <w:proofErr w:type="spellStart"/>
      <w:r>
        <w:rPr>
          <w:rFonts w:asciiTheme="minorHAnsi" w:hAnsiTheme="minorHAnsi"/>
          <w:sz w:val="20"/>
        </w:rPr>
        <w:t>L’OsCO</w:t>
      </w:r>
      <w:proofErr w:type="spellEnd"/>
      <w:r>
        <w:rPr>
          <w:rFonts w:asciiTheme="minorHAnsi" w:hAnsiTheme="minorHAnsi"/>
          <w:sz w:val="20"/>
        </w:rPr>
        <w:t xml:space="preserve"> </w:t>
      </w:r>
      <w:r w:rsidR="00315DEF">
        <w:rPr>
          <w:rFonts w:asciiTheme="minorHAnsi" w:hAnsiTheme="minorHAnsi"/>
          <w:sz w:val="20"/>
        </w:rPr>
        <w:t>è</w:t>
      </w:r>
      <w:r>
        <w:rPr>
          <w:rFonts w:asciiTheme="minorHAnsi" w:hAnsiTheme="minorHAnsi"/>
          <w:sz w:val="20"/>
        </w:rPr>
        <w:t xml:space="preserve"> dotato di posti letto destinati a pazienti residenti che, pur non presentando patologie acute ad elevata necessità di assistenza medica, non possono essere assistiti adeguatamente a domicilio e risultano per questo spesso impropriamente ospedalizzati. Si accede </w:t>
      </w:r>
      <w:proofErr w:type="spellStart"/>
      <w:r>
        <w:rPr>
          <w:rFonts w:asciiTheme="minorHAnsi" w:hAnsiTheme="minorHAnsi"/>
          <w:sz w:val="20"/>
        </w:rPr>
        <w:t>all’OsCo</w:t>
      </w:r>
      <w:proofErr w:type="spellEnd"/>
      <w:r>
        <w:rPr>
          <w:rFonts w:asciiTheme="minorHAnsi" w:hAnsiTheme="minorHAnsi"/>
          <w:sz w:val="20"/>
        </w:rPr>
        <w:t xml:space="preserve"> su richiesta del MMG, dal proprio domicilio, in alternativa all’ospedale, oppure, in dimissione dall’ospedale, al termine della fase acuta e prima di tornare al proprio domicilio. </w:t>
      </w:r>
    </w:p>
    <w:p w14:paraId="4C1AC067" w14:textId="157D6942" w:rsidR="00E27519" w:rsidRDefault="0003178C">
      <w:pPr>
        <w:spacing w:before="0"/>
        <w:jc w:val="both"/>
        <w:rPr>
          <w:rFonts w:asciiTheme="minorHAnsi" w:hAnsiTheme="minorHAnsi"/>
          <w:sz w:val="20"/>
        </w:rPr>
      </w:pPr>
      <w:r>
        <w:rPr>
          <w:rFonts w:asciiTheme="minorHAnsi" w:hAnsiTheme="minorHAnsi"/>
          <w:sz w:val="20"/>
        </w:rPr>
        <w:t xml:space="preserve">La responsabilità clinica all'interno </w:t>
      </w:r>
      <w:proofErr w:type="spellStart"/>
      <w:r>
        <w:rPr>
          <w:rFonts w:asciiTheme="minorHAnsi" w:hAnsiTheme="minorHAnsi"/>
          <w:sz w:val="20"/>
        </w:rPr>
        <w:t>dell'OsCo</w:t>
      </w:r>
      <w:proofErr w:type="spellEnd"/>
      <w:r>
        <w:rPr>
          <w:rFonts w:asciiTheme="minorHAnsi" w:hAnsiTheme="minorHAnsi"/>
          <w:sz w:val="20"/>
        </w:rPr>
        <w:t xml:space="preserve"> viene garantita dai medici di medicina generale.  la responsabilità dell’assistenza, della gestione della piattaforma logistica e dell’organizzazione è in capo al coordinatore infermieristico. L’assistenza dei pazienti in </w:t>
      </w:r>
      <w:proofErr w:type="spellStart"/>
      <w:r>
        <w:rPr>
          <w:rFonts w:asciiTheme="minorHAnsi" w:hAnsiTheme="minorHAnsi"/>
          <w:sz w:val="20"/>
        </w:rPr>
        <w:t>OsCo</w:t>
      </w:r>
      <w:proofErr w:type="spellEnd"/>
      <w:r>
        <w:rPr>
          <w:rFonts w:asciiTheme="minorHAnsi" w:hAnsiTheme="minorHAnsi"/>
          <w:sz w:val="20"/>
        </w:rPr>
        <w:t xml:space="preserve"> viene garantita dalla presenza infermieristica nell’arco delle 24 ore coadiuvata da personale OSS e altri professionisti quando necessario (es. fisioterapista). Gli infermieri sono responsabili della corretta applicazione del PAI (piano assistenziale individualizzato).</w:t>
      </w:r>
    </w:p>
    <w:p w14:paraId="6739230D" w14:textId="1F890E7F"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 xml:space="preserve">Nell’Azienda USL di Modena, sono attualmente attivi due </w:t>
      </w:r>
      <w:proofErr w:type="spellStart"/>
      <w:r>
        <w:rPr>
          <w:rFonts w:asciiTheme="minorHAnsi" w:eastAsia="Calibri" w:hAnsiTheme="minorHAnsi"/>
          <w:sz w:val="20"/>
          <w:lang w:eastAsia="en-US"/>
        </w:rPr>
        <w:t>OsCo</w:t>
      </w:r>
      <w:proofErr w:type="spellEnd"/>
      <w:r>
        <w:rPr>
          <w:rFonts w:asciiTheme="minorHAnsi" w:eastAsia="Calibri" w:hAnsiTheme="minorHAnsi"/>
          <w:sz w:val="20"/>
          <w:lang w:eastAsia="en-US"/>
        </w:rPr>
        <w:t xml:space="preserve">, uno a Castelfranco Emilia (17pl attivi, in prospettiva 20pl) e uno a Fanano (15 </w:t>
      </w:r>
      <w:proofErr w:type="spellStart"/>
      <w:r>
        <w:rPr>
          <w:rFonts w:asciiTheme="minorHAnsi" w:eastAsia="Calibri" w:hAnsiTheme="minorHAnsi"/>
          <w:sz w:val="20"/>
          <w:lang w:eastAsia="en-US"/>
        </w:rPr>
        <w:t>pl</w:t>
      </w:r>
      <w:proofErr w:type="spellEnd"/>
      <w:r>
        <w:rPr>
          <w:rFonts w:asciiTheme="minorHAnsi" w:eastAsia="Calibri" w:hAnsiTheme="minorHAnsi"/>
          <w:sz w:val="20"/>
          <w:lang w:eastAsia="en-US"/>
        </w:rPr>
        <w:t xml:space="preserve">). È stata avviata la progettazione esecutiva </w:t>
      </w:r>
      <w:proofErr w:type="spellStart"/>
      <w:r>
        <w:rPr>
          <w:rFonts w:asciiTheme="minorHAnsi" w:eastAsia="Calibri" w:hAnsiTheme="minorHAnsi"/>
          <w:sz w:val="20"/>
          <w:lang w:eastAsia="en-US"/>
        </w:rPr>
        <w:t>dell'OsCo</w:t>
      </w:r>
      <w:proofErr w:type="spellEnd"/>
      <w:r>
        <w:rPr>
          <w:rFonts w:asciiTheme="minorHAnsi" w:eastAsia="Calibri" w:hAnsiTheme="minorHAnsi"/>
          <w:sz w:val="20"/>
          <w:lang w:eastAsia="en-US"/>
        </w:rPr>
        <w:t xml:space="preserve"> di Mirandola e di Finale Emilia (entrambi gi</w:t>
      </w:r>
      <w:r w:rsidR="00D947E6">
        <w:rPr>
          <w:rFonts w:asciiTheme="minorHAnsi" w:eastAsia="Calibri" w:hAnsiTheme="minorHAnsi"/>
          <w:sz w:val="20"/>
          <w:lang w:eastAsia="en-US"/>
        </w:rPr>
        <w:t xml:space="preserve">à </w:t>
      </w:r>
      <w:r>
        <w:rPr>
          <w:rFonts w:asciiTheme="minorHAnsi" w:eastAsia="Calibri" w:hAnsiTheme="minorHAnsi"/>
          <w:sz w:val="20"/>
          <w:lang w:eastAsia="en-US"/>
        </w:rPr>
        <w:t xml:space="preserve">finanziati). </w:t>
      </w:r>
    </w:p>
    <w:p w14:paraId="1602A8CE" w14:textId="77777777" w:rsidR="00E27519" w:rsidRDefault="0003178C">
      <w:pPr>
        <w:spacing w:before="0"/>
        <w:jc w:val="both"/>
        <w:rPr>
          <w:rFonts w:asciiTheme="minorHAnsi" w:eastAsia="Calibri" w:hAnsiTheme="minorHAnsi"/>
          <w:sz w:val="20"/>
          <w:lang w:eastAsia="en-US"/>
        </w:rPr>
      </w:pPr>
      <w:proofErr w:type="spellStart"/>
      <w:r>
        <w:rPr>
          <w:rFonts w:asciiTheme="minorHAnsi" w:eastAsia="Calibri" w:hAnsiTheme="minorHAnsi"/>
          <w:sz w:val="20"/>
          <w:lang w:eastAsia="en-US"/>
        </w:rPr>
        <w:t>L'OsCo</w:t>
      </w:r>
      <w:proofErr w:type="spellEnd"/>
      <w:r>
        <w:rPr>
          <w:rFonts w:asciiTheme="minorHAnsi" w:eastAsia="Calibri" w:hAnsiTheme="minorHAnsi"/>
          <w:sz w:val="20"/>
          <w:lang w:eastAsia="en-US"/>
        </w:rPr>
        <w:t xml:space="preserve"> di Castelfranco Emilia è stato realizzato nell'ambito della Casa della Salute Regina Margherita e della trasformazione del precedente Ospedale che prevedrà anche la costruzione di un </w:t>
      </w:r>
      <w:proofErr w:type="spellStart"/>
      <w:r>
        <w:rPr>
          <w:rFonts w:asciiTheme="minorHAnsi" w:eastAsia="Calibri" w:hAnsiTheme="minorHAnsi"/>
          <w:sz w:val="20"/>
          <w:lang w:eastAsia="en-US"/>
        </w:rPr>
        <w:t>Hospice</w:t>
      </w:r>
      <w:proofErr w:type="spellEnd"/>
      <w:r>
        <w:rPr>
          <w:rFonts w:asciiTheme="minorHAnsi" w:eastAsia="Calibri" w:hAnsiTheme="minorHAnsi"/>
          <w:sz w:val="20"/>
          <w:lang w:eastAsia="en-US"/>
        </w:rPr>
        <w:t xml:space="preserve"> (apertura prevista 2018). </w:t>
      </w:r>
      <w:proofErr w:type="spellStart"/>
      <w:r>
        <w:rPr>
          <w:rFonts w:asciiTheme="minorHAnsi" w:eastAsia="Calibri" w:hAnsiTheme="minorHAnsi"/>
          <w:sz w:val="20"/>
          <w:lang w:eastAsia="en-US"/>
        </w:rPr>
        <w:t>L'OsCo</w:t>
      </w:r>
      <w:proofErr w:type="spellEnd"/>
      <w:r>
        <w:rPr>
          <w:rFonts w:asciiTheme="minorHAnsi" w:eastAsia="Calibri" w:hAnsiTheme="minorHAnsi"/>
          <w:sz w:val="20"/>
          <w:lang w:eastAsia="en-US"/>
        </w:rPr>
        <w:t xml:space="preserve"> di Fanano è ottenuto dalla trasformazione di letti RSA. </w:t>
      </w:r>
      <w:proofErr w:type="spellStart"/>
      <w:r>
        <w:rPr>
          <w:rFonts w:asciiTheme="minorHAnsi" w:eastAsia="Calibri" w:hAnsiTheme="minorHAnsi"/>
          <w:sz w:val="20"/>
          <w:lang w:eastAsia="en-US"/>
        </w:rPr>
        <w:t>L'OsCo</w:t>
      </w:r>
      <w:proofErr w:type="spellEnd"/>
      <w:r>
        <w:rPr>
          <w:rFonts w:asciiTheme="minorHAnsi" w:eastAsia="Calibri" w:hAnsiTheme="minorHAnsi"/>
          <w:sz w:val="20"/>
          <w:lang w:eastAsia="en-US"/>
        </w:rPr>
        <w:t xml:space="preserve"> in progettazione esecutiva a Finale Emilia è ottenuto dalla trasformazione del precedente ospedale danneggiato dal terremoto.</w:t>
      </w:r>
    </w:p>
    <w:p w14:paraId="51DA0256"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I pazienti eleggibili sono:</w:t>
      </w:r>
    </w:p>
    <w:p w14:paraId="33988565" w14:textId="77777777" w:rsidR="00E27519" w:rsidRDefault="0003178C">
      <w:pPr>
        <w:pStyle w:val="Paragrafoelenco2"/>
        <w:numPr>
          <w:ilvl w:val="0"/>
          <w:numId w:val="15"/>
        </w:numPr>
        <w:jc w:val="both"/>
        <w:rPr>
          <w:rFonts w:asciiTheme="minorHAnsi" w:eastAsia="Calibri" w:hAnsiTheme="minorHAnsi"/>
          <w:lang w:eastAsia="en-US"/>
        </w:rPr>
      </w:pPr>
      <w:r>
        <w:rPr>
          <w:rFonts w:asciiTheme="minorHAnsi" w:eastAsia="Calibri" w:hAnsiTheme="minorHAnsi"/>
          <w:lang w:eastAsia="en-US"/>
        </w:rPr>
        <w:t xml:space="preserve">Pazienti, prevalentemente con </w:t>
      </w:r>
      <w:proofErr w:type="spellStart"/>
      <w:r>
        <w:rPr>
          <w:rFonts w:asciiTheme="minorHAnsi" w:eastAsia="Calibri" w:hAnsiTheme="minorHAnsi"/>
          <w:lang w:eastAsia="en-US"/>
        </w:rPr>
        <w:t>multimorbosità</w:t>
      </w:r>
      <w:proofErr w:type="spellEnd"/>
      <w:r>
        <w:rPr>
          <w:rFonts w:asciiTheme="minorHAnsi" w:eastAsia="Calibri" w:hAnsiTheme="minorHAnsi"/>
          <w:lang w:eastAsia="en-US"/>
        </w:rPr>
        <w:t xml:space="preserve"> provenienti da struttura ospedaliera, per acuti o riabilitativa;</w:t>
      </w:r>
    </w:p>
    <w:p w14:paraId="7D423999" w14:textId="77777777" w:rsidR="00E27519" w:rsidRDefault="0003178C">
      <w:pPr>
        <w:pStyle w:val="Paragrafoelenco2"/>
        <w:numPr>
          <w:ilvl w:val="0"/>
          <w:numId w:val="15"/>
        </w:numPr>
        <w:jc w:val="both"/>
        <w:rPr>
          <w:rFonts w:asciiTheme="minorHAnsi" w:eastAsia="Calibri" w:hAnsiTheme="minorHAnsi"/>
          <w:lang w:eastAsia="en-US"/>
        </w:rPr>
      </w:pPr>
      <w:r>
        <w:rPr>
          <w:rFonts w:asciiTheme="minorHAnsi" w:eastAsia="Calibri" w:hAnsiTheme="minorHAnsi"/>
          <w:lang w:eastAsia="en-US"/>
        </w:rPr>
        <w:t>Pazienti fragili e/o cronici provenienti dal domicilio per la presenza di riacutizzazione di condizione clinica preesistente, comunque non meritevoli di ricovero presso ospedale per acuti;</w:t>
      </w:r>
    </w:p>
    <w:p w14:paraId="70A88E7A" w14:textId="77777777" w:rsidR="00E27519" w:rsidRDefault="0003178C">
      <w:pPr>
        <w:pStyle w:val="Paragrafoelenco2"/>
        <w:numPr>
          <w:ilvl w:val="0"/>
          <w:numId w:val="15"/>
        </w:numPr>
        <w:jc w:val="both"/>
        <w:rPr>
          <w:rFonts w:asciiTheme="minorHAnsi" w:eastAsia="Calibri" w:hAnsiTheme="minorHAnsi"/>
          <w:lang w:eastAsia="en-US"/>
        </w:rPr>
      </w:pPr>
      <w:r>
        <w:rPr>
          <w:rFonts w:asciiTheme="minorHAnsi" w:eastAsia="Calibri" w:hAnsiTheme="minorHAnsi"/>
          <w:lang w:eastAsia="en-US"/>
        </w:rPr>
        <w:t>Pazienti che necessitano di assistenza infermieristica nelle ADL, nella somministrazione di farmaci o nella gestione di presidi e dispositivi non erogabili a domicilio, monitoraggi.</w:t>
      </w:r>
    </w:p>
    <w:p w14:paraId="0D6ECDBE" w14:textId="77777777" w:rsidR="00E27519" w:rsidRDefault="0003178C">
      <w:pPr>
        <w:jc w:val="both"/>
        <w:rPr>
          <w:rFonts w:asciiTheme="minorHAnsi" w:eastAsia="Calibri" w:hAnsiTheme="minorHAnsi"/>
          <w:sz w:val="20"/>
          <w:lang w:eastAsia="en-US"/>
        </w:rPr>
      </w:pPr>
      <w:r>
        <w:rPr>
          <w:rFonts w:asciiTheme="minorHAnsi" w:eastAsia="Calibri" w:hAnsiTheme="minorHAnsi"/>
          <w:sz w:val="20"/>
          <w:lang w:eastAsia="en-US"/>
        </w:rPr>
        <w:t>I motivi di ricovero sono:</w:t>
      </w:r>
    </w:p>
    <w:p w14:paraId="6ED7A965" w14:textId="77777777" w:rsidR="00E27519" w:rsidRDefault="0003178C">
      <w:pPr>
        <w:pStyle w:val="Paragrafoelenco2"/>
        <w:numPr>
          <w:ilvl w:val="0"/>
          <w:numId w:val="16"/>
        </w:numPr>
        <w:jc w:val="both"/>
        <w:rPr>
          <w:rFonts w:asciiTheme="minorHAnsi" w:eastAsia="Calibri" w:hAnsiTheme="minorHAnsi"/>
          <w:lang w:eastAsia="en-US"/>
        </w:rPr>
      </w:pPr>
      <w:r>
        <w:rPr>
          <w:rFonts w:asciiTheme="minorHAnsi" w:eastAsia="Calibri" w:hAnsiTheme="minorHAnsi"/>
          <w:lang w:eastAsia="en-US"/>
        </w:rPr>
        <w:t>Patologia cronica riacutizzata</w:t>
      </w:r>
    </w:p>
    <w:p w14:paraId="628A6A72" w14:textId="77777777" w:rsidR="00E27519" w:rsidRDefault="0003178C">
      <w:pPr>
        <w:pStyle w:val="Paragrafoelenco2"/>
        <w:numPr>
          <w:ilvl w:val="0"/>
          <w:numId w:val="16"/>
        </w:numPr>
        <w:jc w:val="both"/>
        <w:rPr>
          <w:rFonts w:asciiTheme="minorHAnsi" w:eastAsia="Calibri" w:hAnsiTheme="minorHAnsi"/>
          <w:lang w:eastAsia="en-US"/>
        </w:rPr>
      </w:pPr>
      <w:r>
        <w:rPr>
          <w:rFonts w:asciiTheme="minorHAnsi" w:eastAsia="Calibri" w:hAnsiTheme="minorHAnsi"/>
          <w:lang w:eastAsia="en-US"/>
        </w:rPr>
        <w:t>Monitoraggio clinico e stabilizzazione terapeutica</w:t>
      </w:r>
    </w:p>
    <w:p w14:paraId="732280D6" w14:textId="77777777" w:rsidR="00E27519" w:rsidRDefault="0003178C">
      <w:pPr>
        <w:pStyle w:val="Paragrafoelenco2"/>
        <w:numPr>
          <w:ilvl w:val="0"/>
          <w:numId w:val="16"/>
        </w:numPr>
        <w:jc w:val="both"/>
        <w:rPr>
          <w:rFonts w:asciiTheme="minorHAnsi" w:eastAsia="Calibri" w:hAnsiTheme="minorHAnsi"/>
          <w:lang w:eastAsia="en-US"/>
        </w:rPr>
      </w:pPr>
      <w:r>
        <w:rPr>
          <w:rFonts w:asciiTheme="minorHAnsi" w:eastAsia="Calibri" w:hAnsiTheme="minorHAnsi"/>
          <w:lang w:eastAsia="en-US"/>
        </w:rPr>
        <w:t>Educazione/addestramento del paziente e del caregiver</w:t>
      </w:r>
    </w:p>
    <w:p w14:paraId="0DB58164" w14:textId="77777777" w:rsidR="00E27519" w:rsidRDefault="0003178C">
      <w:pPr>
        <w:pStyle w:val="Paragrafoelenco2"/>
        <w:numPr>
          <w:ilvl w:val="0"/>
          <w:numId w:val="16"/>
        </w:numPr>
        <w:jc w:val="both"/>
        <w:rPr>
          <w:rFonts w:asciiTheme="minorHAnsi" w:eastAsia="Calibri" w:hAnsiTheme="minorHAnsi"/>
          <w:lang w:eastAsia="en-US"/>
        </w:rPr>
      </w:pPr>
      <w:r>
        <w:rPr>
          <w:rFonts w:asciiTheme="minorHAnsi" w:eastAsia="Calibri" w:hAnsiTheme="minorHAnsi"/>
          <w:lang w:eastAsia="en-US"/>
        </w:rPr>
        <w:lastRenderedPageBreak/>
        <w:t>Riattivazione funzionale</w:t>
      </w:r>
    </w:p>
    <w:p w14:paraId="07317F52" w14:textId="77777777" w:rsidR="00E27519" w:rsidRDefault="0003178C">
      <w:pPr>
        <w:pStyle w:val="Paragrafoelenco2"/>
        <w:numPr>
          <w:ilvl w:val="0"/>
          <w:numId w:val="16"/>
        </w:numPr>
        <w:jc w:val="both"/>
        <w:rPr>
          <w:rFonts w:asciiTheme="minorHAnsi" w:eastAsia="Calibri" w:hAnsiTheme="minorHAnsi"/>
          <w:lang w:eastAsia="en-US"/>
        </w:rPr>
      </w:pPr>
      <w:r>
        <w:rPr>
          <w:rFonts w:asciiTheme="minorHAnsi" w:eastAsia="Calibri" w:hAnsiTheme="minorHAnsi"/>
          <w:lang w:eastAsia="en-US"/>
        </w:rPr>
        <w:t xml:space="preserve">Interventi riabilitativi/rieducativi </w:t>
      </w:r>
      <w:proofErr w:type="spellStart"/>
      <w:r>
        <w:rPr>
          <w:rFonts w:asciiTheme="minorHAnsi" w:eastAsia="Calibri" w:hAnsiTheme="minorHAnsi"/>
          <w:lang w:eastAsia="en-US"/>
        </w:rPr>
        <w:t>monodistretto</w:t>
      </w:r>
      <w:proofErr w:type="spellEnd"/>
      <w:r>
        <w:rPr>
          <w:rFonts w:asciiTheme="minorHAnsi" w:eastAsia="Calibri" w:hAnsiTheme="minorHAnsi"/>
          <w:lang w:eastAsia="en-US"/>
        </w:rPr>
        <w:t xml:space="preserve"> o completamento di interventi estensivi</w:t>
      </w:r>
    </w:p>
    <w:p w14:paraId="10EE23CA" w14:textId="77777777" w:rsidR="00E27519" w:rsidRDefault="0003178C">
      <w:pPr>
        <w:pStyle w:val="Paragrafoelenco2"/>
        <w:numPr>
          <w:ilvl w:val="0"/>
          <w:numId w:val="16"/>
        </w:numPr>
        <w:jc w:val="both"/>
        <w:rPr>
          <w:rFonts w:asciiTheme="minorHAnsi" w:eastAsia="Calibri" w:hAnsiTheme="minorHAnsi"/>
          <w:lang w:eastAsia="en-US"/>
        </w:rPr>
      </w:pPr>
      <w:r>
        <w:rPr>
          <w:rFonts w:asciiTheme="minorHAnsi" w:eastAsia="Calibri" w:hAnsiTheme="minorHAnsi"/>
          <w:lang w:eastAsia="en-US"/>
        </w:rPr>
        <w:t>Acuzie minori</w:t>
      </w:r>
    </w:p>
    <w:p w14:paraId="14478721"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t>Nel 2016 la degenza media nei due Ospedali di Comunità è stata pari a 19,3 giorni. Nel complesso c'è stato un aumento rispetto al 2015 nei singoli Ospedali di Comunità (Fanano 19,9 nel 2015 e 21,8 nel 2016 - Castelfranco 15,6 nel 2015 e 17,6 nel 2016).</w:t>
      </w:r>
    </w:p>
    <w:p w14:paraId="03BF8C8F" w14:textId="77777777" w:rsidR="00E27519" w:rsidRDefault="00E27519">
      <w:pPr>
        <w:spacing w:before="0"/>
        <w:jc w:val="both"/>
        <w:rPr>
          <w:rFonts w:eastAsia="Calibri"/>
          <w:b/>
          <w:sz w:val="20"/>
          <w:lang w:eastAsia="en-US"/>
        </w:rPr>
      </w:pPr>
    </w:p>
    <w:p w14:paraId="66800C8F" w14:textId="77777777" w:rsidR="00E27519" w:rsidRDefault="0003178C">
      <w:pPr>
        <w:pStyle w:val="Titolo3Verdana"/>
        <w:rPr>
          <w:rFonts w:asciiTheme="minorHAnsi" w:eastAsia="Calibri" w:hAnsiTheme="minorHAnsi"/>
        </w:rPr>
      </w:pPr>
      <w:bookmarkStart w:id="19" w:name="_Toc486415632"/>
      <w:r>
        <w:rPr>
          <w:rFonts w:asciiTheme="minorHAnsi" w:eastAsia="Calibri" w:hAnsiTheme="minorHAnsi"/>
        </w:rPr>
        <w:t>2.3 L’assistenza Specialistica Ambulatoriale</w:t>
      </w:r>
      <w:bookmarkEnd w:id="19"/>
    </w:p>
    <w:p w14:paraId="596EB625" w14:textId="110B9271" w:rsidR="00E27519" w:rsidRDefault="0003178C">
      <w:pPr>
        <w:spacing w:before="0"/>
        <w:jc w:val="both"/>
        <w:rPr>
          <w:rFonts w:asciiTheme="minorHAnsi" w:hAnsiTheme="minorHAnsi"/>
          <w:sz w:val="20"/>
        </w:rPr>
      </w:pPr>
      <w:r>
        <w:rPr>
          <w:rFonts w:asciiTheme="minorHAnsi" w:hAnsiTheme="minorHAnsi"/>
          <w:sz w:val="20"/>
        </w:rPr>
        <w:t xml:space="preserve"> La garanzia del mantenimento dei tempi massimi di accesso alle prestazioni specialistiche ambulatoriali e di diagnostica previsti dalla Regione Emilia Romagna per le 42 prestazioni oggetto di monitoraggio</w:t>
      </w:r>
      <w:r w:rsidR="00D947E6">
        <w:rPr>
          <w:rFonts w:asciiTheme="minorHAnsi" w:hAnsiTheme="minorHAnsi"/>
          <w:sz w:val="20"/>
        </w:rPr>
        <w:t xml:space="preserve"> è</w:t>
      </w:r>
      <w:r>
        <w:rPr>
          <w:rFonts w:asciiTheme="minorHAnsi" w:hAnsiTheme="minorHAnsi"/>
          <w:sz w:val="20"/>
        </w:rPr>
        <w:t xml:space="preserve"> stato un obiettivo prioritario per il 2016.I risultati, visibili nelle tabelle sottostanti, mostrano un ul</w:t>
      </w:r>
      <w:r w:rsidR="00D947E6">
        <w:rPr>
          <w:rFonts w:asciiTheme="minorHAnsi" w:hAnsiTheme="minorHAnsi"/>
          <w:sz w:val="20"/>
        </w:rPr>
        <w:t>t</w:t>
      </w:r>
      <w:r>
        <w:rPr>
          <w:rFonts w:asciiTheme="minorHAnsi" w:hAnsiTheme="minorHAnsi"/>
          <w:sz w:val="20"/>
        </w:rPr>
        <w:t>eriori  miglioramento in ordine ai tempi di attesa delle visite specialistiche e delle prestazioni diagnostiche sia urgenti, con priorità entro 7 giorni, che non urgenti, con priorità entro 36/60/90 giorni, rispetto a quanto gi</w:t>
      </w:r>
      <w:r w:rsidR="00D947E6">
        <w:rPr>
          <w:rFonts w:asciiTheme="minorHAnsi" w:hAnsiTheme="minorHAnsi"/>
          <w:sz w:val="20"/>
        </w:rPr>
        <w:t xml:space="preserve">à </w:t>
      </w:r>
      <w:r>
        <w:rPr>
          <w:rFonts w:asciiTheme="minorHAnsi" w:hAnsiTheme="minorHAnsi"/>
          <w:sz w:val="20"/>
        </w:rPr>
        <w:t xml:space="preserve">raggiunto a fine 2015. </w:t>
      </w:r>
    </w:p>
    <w:p w14:paraId="074E8E60" w14:textId="2376DFC7" w:rsidR="00E27519" w:rsidRDefault="0003178C">
      <w:pPr>
        <w:spacing w:before="0"/>
        <w:jc w:val="both"/>
        <w:rPr>
          <w:rFonts w:asciiTheme="minorHAnsi" w:hAnsiTheme="minorHAnsi"/>
          <w:sz w:val="20"/>
        </w:rPr>
      </w:pPr>
      <w:r>
        <w:rPr>
          <w:rFonts w:asciiTheme="minorHAnsi" w:hAnsiTheme="minorHAnsi"/>
          <w:sz w:val="20"/>
        </w:rPr>
        <w:t>Il risultato raggiunto nel dicembre 2016 è il frutto di un lavoro iniziato nel 2015, quando la situazione del tempi d’attesa dell’attività specialistica ambulatoriale riportava forti criticità, in quanto erano garantite entro i tempi previsti dalla normativa (30 gg per le visite, 60 gg per gli esami strumentali) solo il 58% delle prestazioni, con alcune gravi problematiche riguardanti le visite endocrinologiche, pneumologiche, ginecologiche e la diagnostica pesante. Grazie agli interventi sostenuti dall’Azienda per il riordino delle attività di specialistica ambulatoriale, si sono evidenziati concreti miglioramenti in tutte le discipline,  risultato che è andato progressivamente migliorando nel corso dei mesi fino a raggiungere al 31 dicembre 2016 un IP del 100% per quasi tutte le prestazioni di primo accesso oggetto di monitoraggio. raggiungendo uno degli obiettivi prioritari della DGR 1003/2016.</w:t>
      </w:r>
    </w:p>
    <w:p w14:paraId="6BB89FAF" w14:textId="77777777" w:rsidR="00E27519" w:rsidRDefault="0003178C">
      <w:pPr>
        <w:spacing w:before="0"/>
        <w:jc w:val="both"/>
        <w:rPr>
          <w:rFonts w:asciiTheme="minorHAnsi" w:hAnsiTheme="minorHAnsi"/>
          <w:sz w:val="20"/>
        </w:rPr>
      </w:pPr>
      <w:r>
        <w:rPr>
          <w:rFonts w:asciiTheme="minorHAnsi" w:hAnsiTheme="minorHAnsi"/>
          <w:sz w:val="20"/>
        </w:rPr>
        <w:t>Il 2016 si è contraddistinto per il monitoraggio quotidiano dell'offerta disponibile (sull'applicativo CUPISES) attraverso un report dedicato e oggetto di continua manutenzione rispetto alle criticità emergenti. È stata, inoltre, effettuata un’analisi strategica rispetto alle scelte quali-quantitative di "</w:t>
      </w:r>
      <w:proofErr w:type="spellStart"/>
      <w:r>
        <w:rPr>
          <w:rFonts w:asciiTheme="minorHAnsi" w:hAnsiTheme="minorHAnsi"/>
          <w:sz w:val="20"/>
        </w:rPr>
        <w:t>Make</w:t>
      </w:r>
      <w:proofErr w:type="spellEnd"/>
      <w:r>
        <w:rPr>
          <w:rFonts w:asciiTheme="minorHAnsi" w:hAnsiTheme="minorHAnsi"/>
          <w:sz w:val="20"/>
        </w:rPr>
        <w:t xml:space="preserve"> or </w:t>
      </w:r>
      <w:proofErr w:type="spellStart"/>
      <w:r>
        <w:rPr>
          <w:rFonts w:asciiTheme="minorHAnsi" w:hAnsiTheme="minorHAnsi"/>
          <w:sz w:val="20"/>
        </w:rPr>
        <w:t>Buy</w:t>
      </w:r>
      <w:proofErr w:type="spellEnd"/>
      <w:r>
        <w:rPr>
          <w:rFonts w:asciiTheme="minorHAnsi" w:hAnsiTheme="minorHAnsi"/>
          <w:sz w:val="20"/>
        </w:rPr>
        <w:t>" per il mantenimento della continuità dell'offerta.</w:t>
      </w:r>
    </w:p>
    <w:p w14:paraId="24D3003A" w14:textId="77777777" w:rsidR="00E27519" w:rsidRDefault="00E27519">
      <w:pPr>
        <w:spacing w:before="0"/>
        <w:jc w:val="both"/>
        <w:rPr>
          <w:rFonts w:asciiTheme="minorHAnsi" w:hAnsiTheme="minorHAnsi"/>
          <w:sz w:val="20"/>
        </w:rPr>
      </w:pPr>
    </w:p>
    <w:p w14:paraId="4DBC6A17" w14:textId="0E2EE70C" w:rsidR="00E27519" w:rsidRDefault="0003178C">
      <w:pPr>
        <w:spacing w:before="0"/>
        <w:jc w:val="both"/>
        <w:rPr>
          <w:rFonts w:asciiTheme="minorHAnsi" w:hAnsiTheme="minorHAnsi"/>
          <w:sz w:val="20"/>
        </w:rPr>
      </w:pPr>
      <w:r>
        <w:rPr>
          <w:rFonts w:asciiTheme="minorHAnsi" w:hAnsiTheme="minorHAnsi"/>
          <w:sz w:val="20"/>
        </w:rPr>
        <w:t>Nel 2016 sono state rese disponibili su CUPWEB tutte le prestazioni concordate in Osservatorio T</w:t>
      </w:r>
      <w:r w:rsidR="00D947E6">
        <w:rPr>
          <w:rFonts w:asciiTheme="minorHAnsi" w:hAnsiTheme="minorHAnsi"/>
          <w:sz w:val="20"/>
        </w:rPr>
        <w:t xml:space="preserve">empi </w:t>
      </w:r>
      <w:r>
        <w:rPr>
          <w:rFonts w:asciiTheme="minorHAnsi" w:hAnsiTheme="minorHAnsi"/>
          <w:sz w:val="20"/>
        </w:rPr>
        <w:t>d</w:t>
      </w:r>
      <w:r w:rsidR="00D947E6">
        <w:rPr>
          <w:rFonts w:asciiTheme="minorHAnsi" w:hAnsiTheme="minorHAnsi"/>
          <w:sz w:val="20"/>
        </w:rPr>
        <w:t>’</w:t>
      </w:r>
      <w:r>
        <w:rPr>
          <w:rFonts w:asciiTheme="minorHAnsi" w:hAnsiTheme="minorHAnsi"/>
          <w:sz w:val="20"/>
        </w:rPr>
        <w:t>A</w:t>
      </w:r>
      <w:r w:rsidR="00D947E6">
        <w:rPr>
          <w:rFonts w:asciiTheme="minorHAnsi" w:hAnsiTheme="minorHAnsi"/>
          <w:sz w:val="20"/>
        </w:rPr>
        <w:t>ttesa</w:t>
      </w:r>
      <w:r>
        <w:rPr>
          <w:rFonts w:asciiTheme="minorHAnsi" w:hAnsiTheme="minorHAnsi"/>
          <w:sz w:val="20"/>
        </w:rPr>
        <w:t xml:space="preserve"> con la RER: ad oggi le prestazioni sono complessivamente 525, compresi i 42 aggregati di prestazioni per i </w:t>
      </w:r>
      <w:proofErr w:type="spellStart"/>
      <w:r>
        <w:rPr>
          <w:rFonts w:asciiTheme="minorHAnsi" w:hAnsiTheme="minorHAnsi"/>
          <w:sz w:val="20"/>
        </w:rPr>
        <w:t>T.d.A</w:t>
      </w:r>
      <w:proofErr w:type="spellEnd"/>
      <w:r>
        <w:rPr>
          <w:rFonts w:asciiTheme="minorHAnsi" w:hAnsiTheme="minorHAnsi"/>
          <w:sz w:val="20"/>
        </w:rPr>
        <w:t xml:space="preserve"> e saranno 756 entro aprile 2017 con il superamento di alcuni problemi tecnici. 13 prestazioni tra quelle monitorate per </w:t>
      </w:r>
      <w:proofErr w:type="spellStart"/>
      <w:r>
        <w:rPr>
          <w:rFonts w:asciiTheme="minorHAnsi" w:hAnsiTheme="minorHAnsi"/>
          <w:sz w:val="20"/>
        </w:rPr>
        <w:t>T.d.A</w:t>
      </w:r>
      <w:proofErr w:type="spellEnd"/>
      <w:r>
        <w:rPr>
          <w:rFonts w:asciiTheme="minorHAnsi" w:hAnsiTheme="minorHAnsi"/>
          <w:sz w:val="20"/>
        </w:rPr>
        <w:t xml:space="preserve"> non sono state rese prenotabili su CUPWEB perché  potenzialmente critiche rispetto alle modalità di prenotazione per l'utente e/o perché erogabili solo su percorsi di presa in carico (ecografia ostetrica, test combinato, visita urologica pediatrica, colonscopia con biopsia, colonscopia con </w:t>
      </w:r>
      <w:proofErr w:type="spellStart"/>
      <w:r>
        <w:rPr>
          <w:rFonts w:asciiTheme="minorHAnsi" w:hAnsiTheme="minorHAnsi"/>
          <w:sz w:val="20"/>
        </w:rPr>
        <w:t>polipectomia</w:t>
      </w:r>
      <w:proofErr w:type="spellEnd"/>
      <w:r>
        <w:rPr>
          <w:rFonts w:asciiTheme="minorHAnsi" w:hAnsiTheme="minorHAnsi"/>
          <w:sz w:val="20"/>
        </w:rPr>
        <w:t xml:space="preserve">, </w:t>
      </w:r>
      <w:proofErr w:type="spellStart"/>
      <w:r>
        <w:rPr>
          <w:rFonts w:asciiTheme="minorHAnsi" w:hAnsiTheme="minorHAnsi"/>
          <w:sz w:val="20"/>
        </w:rPr>
        <w:t>sigmoidoscopia</w:t>
      </w:r>
      <w:proofErr w:type="spellEnd"/>
      <w:r>
        <w:rPr>
          <w:rFonts w:asciiTheme="minorHAnsi" w:hAnsiTheme="minorHAnsi"/>
          <w:sz w:val="20"/>
        </w:rPr>
        <w:t xml:space="preserve"> con endoscopio flessibile , EMG, EMG singolo muscolo, EMG singola fibra, EMG unità motoria Risposte riflesse, Visita oncologica, esame clinico strumentale delle mammelle).</w:t>
      </w:r>
    </w:p>
    <w:p w14:paraId="503ED6F6" w14:textId="77777777" w:rsidR="00E27519" w:rsidRDefault="0003178C">
      <w:pPr>
        <w:suppressAutoHyphens w:val="0"/>
        <w:spacing w:before="0"/>
        <w:rPr>
          <w:rFonts w:cs="Verdana"/>
          <w:b/>
          <w:i/>
          <w:sz w:val="20"/>
          <w:szCs w:val="22"/>
          <w:highlight w:val="green"/>
          <w:lang w:eastAsia="it-IT"/>
        </w:rPr>
      </w:pPr>
      <w:r>
        <w:rPr>
          <w:rFonts w:cs="Verdana"/>
          <w:b/>
          <w:i/>
          <w:sz w:val="20"/>
          <w:szCs w:val="22"/>
          <w:highlight w:val="green"/>
          <w:lang w:eastAsia="it-IT"/>
        </w:rPr>
        <w:br w:type="page"/>
      </w:r>
    </w:p>
    <w:p w14:paraId="15C976B5" w14:textId="77777777" w:rsidR="00E27519" w:rsidRDefault="00E27519">
      <w:pPr>
        <w:suppressAutoHyphens w:val="0"/>
        <w:spacing w:before="0"/>
        <w:rPr>
          <w:rFonts w:cs="Verdana"/>
          <w:b/>
          <w:i/>
          <w:sz w:val="20"/>
          <w:szCs w:val="22"/>
          <w:highlight w:val="green"/>
          <w:lang w:eastAsia="it-IT"/>
        </w:rPr>
      </w:pPr>
    </w:p>
    <w:p w14:paraId="6CDBC156" w14:textId="77777777" w:rsidR="00E27519" w:rsidRDefault="0003178C">
      <w:pPr>
        <w:suppressAutoHyphens w:val="0"/>
        <w:spacing w:before="0"/>
        <w:ind w:left="284" w:right="284"/>
        <w:jc w:val="both"/>
        <w:rPr>
          <w:rFonts w:cs="Verdana"/>
          <w:b/>
          <w:i/>
          <w:sz w:val="20"/>
          <w:szCs w:val="22"/>
          <w:lang w:eastAsia="it-IT"/>
        </w:rPr>
      </w:pPr>
      <w:r>
        <w:rPr>
          <w:rFonts w:cs="Verdana"/>
          <w:b/>
          <w:i/>
          <w:sz w:val="20"/>
          <w:szCs w:val="22"/>
          <w:lang w:eastAsia="it-IT"/>
        </w:rPr>
        <w:t>Indice di Performance TDA – Anno 2016 – Priorità 7 giorni</w:t>
      </w:r>
    </w:p>
    <w:p w14:paraId="4594FA4D" w14:textId="77777777" w:rsidR="00E27519" w:rsidRDefault="00E27519">
      <w:pPr>
        <w:suppressAutoHyphens w:val="0"/>
        <w:spacing w:before="0"/>
        <w:ind w:right="284"/>
        <w:jc w:val="both"/>
        <w:rPr>
          <w:rFonts w:cs="Verdana"/>
          <w:b/>
          <w:i/>
          <w:szCs w:val="22"/>
          <w:lang w:eastAsia="it-IT"/>
        </w:rPr>
      </w:pPr>
    </w:p>
    <w:p w14:paraId="7F5331C3" w14:textId="77777777" w:rsidR="00E27519" w:rsidRDefault="0003178C">
      <w:pPr>
        <w:suppressAutoHyphens w:val="0"/>
        <w:spacing w:before="0"/>
        <w:ind w:right="284"/>
        <w:jc w:val="center"/>
        <w:rPr>
          <w:rFonts w:cs="Verdana"/>
          <w:b/>
          <w:i/>
          <w:szCs w:val="22"/>
          <w:lang w:eastAsia="it-IT"/>
        </w:rPr>
      </w:pPr>
      <w:r>
        <w:rPr>
          <w:rFonts w:cs="Verdana"/>
          <w:b/>
          <w:i/>
          <w:noProof/>
          <w:szCs w:val="22"/>
          <w:lang w:eastAsia="it-IT" w:bidi="ar-SA"/>
        </w:rPr>
        <w:drawing>
          <wp:inline distT="0" distB="0" distL="0" distR="0" wp14:anchorId="66C199F8" wp14:editId="2C3C9CC1">
            <wp:extent cx="5549900" cy="543052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49900" cy="5430520"/>
                    </a:xfrm>
                    <a:prstGeom prst="rect">
                      <a:avLst/>
                    </a:prstGeom>
                    <a:noFill/>
                    <a:ln>
                      <a:noFill/>
                    </a:ln>
                  </pic:spPr>
                </pic:pic>
              </a:graphicData>
            </a:graphic>
          </wp:inline>
        </w:drawing>
      </w:r>
    </w:p>
    <w:p w14:paraId="35A90538" w14:textId="77777777" w:rsidR="00E27519" w:rsidRDefault="00E27519">
      <w:pPr>
        <w:suppressAutoHyphens w:val="0"/>
        <w:spacing w:before="0"/>
        <w:ind w:right="284"/>
        <w:jc w:val="both"/>
        <w:rPr>
          <w:rFonts w:cs="Verdana"/>
          <w:b/>
          <w:i/>
          <w:szCs w:val="22"/>
          <w:lang w:eastAsia="it-IT"/>
        </w:rPr>
      </w:pPr>
    </w:p>
    <w:p w14:paraId="303A0718" w14:textId="77777777" w:rsidR="00E27519" w:rsidRDefault="0003178C">
      <w:pPr>
        <w:suppressAutoHyphens w:val="0"/>
        <w:spacing w:before="0"/>
        <w:rPr>
          <w:rFonts w:cs="Verdana"/>
          <w:b/>
          <w:i/>
          <w:sz w:val="20"/>
          <w:szCs w:val="22"/>
          <w:lang w:eastAsia="it-IT"/>
        </w:rPr>
      </w:pPr>
      <w:r>
        <w:rPr>
          <w:rFonts w:cs="Verdana"/>
          <w:b/>
          <w:i/>
          <w:sz w:val="20"/>
          <w:szCs w:val="22"/>
          <w:lang w:eastAsia="it-IT"/>
        </w:rPr>
        <w:br w:type="page"/>
      </w:r>
    </w:p>
    <w:p w14:paraId="3D2EDDB7" w14:textId="77777777" w:rsidR="00E27519" w:rsidRDefault="0003178C">
      <w:pPr>
        <w:suppressAutoHyphens w:val="0"/>
        <w:spacing w:before="0"/>
        <w:ind w:left="284" w:right="284"/>
        <w:jc w:val="both"/>
        <w:rPr>
          <w:rFonts w:cs="Verdana"/>
          <w:b/>
          <w:i/>
          <w:sz w:val="20"/>
          <w:szCs w:val="22"/>
          <w:lang w:eastAsia="it-IT"/>
        </w:rPr>
      </w:pPr>
      <w:r>
        <w:rPr>
          <w:rFonts w:cs="Verdana"/>
          <w:b/>
          <w:i/>
          <w:sz w:val="20"/>
          <w:szCs w:val="22"/>
          <w:lang w:eastAsia="it-IT"/>
        </w:rPr>
        <w:lastRenderedPageBreak/>
        <w:t>Indice di Performance TDA – Anno 2016 – Priorità 30/60/90 giorni</w:t>
      </w:r>
    </w:p>
    <w:p w14:paraId="49FC7F96" w14:textId="77777777" w:rsidR="00E27519" w:rsidRDefault="00E27519">
      <w:pPr>
        <w:suppressAutoHyphens w:val="0"/>
        <w:spacing w:before="0"/>
        <w:ind w:right="284"/>
        <w:jc w:val="both"/>
        <w:rPr>
          <w:rFonts w:cs="Verdana"/>
          <w:b/>
          <w:i/>
          <w:szCs w:val="22"/>
          <w:lang w:eastAsia="it-IT"/>
        </w:rPr>
      </w:pPr>
    </w:p>
    <w:p w14:paraId="76B7699E" w14:textId="77777777" w:rsidR="00E27519" w:rsidRDefault="0003178C">
      <w:pPr>
        <w:suppressAutoHyphens w:val="0"/>
        <w:spacing w:before="0"/>
        <w:ind w:right="284"/>
        <w:jc w:val="center"/>
        <w:rPr>
          <w:rFonts w:cs="Verdana"/>
          <w:b/>
          <w:i/>
          <w:szCs w:val="22"/>
          <w:lang w:eastAsia="it-IT"/>
        </w:rPr>
      </w:pPr>
      <w:r>
        <w:rPr>
          <w:rFonts w:cs="Verdana"/>
          <w:b/>
          <w:i/>
          <w:noProof/>
          <w:szCs w:val="22"/>
          <w:lang w:eastAsia="it-IT" w:bidi="ar-SA"/>
        </w:rPr>
        <w:drawing>
          <wp:inline distT="0" distB="0" distL="0" distR="0" wp14:anchorId="2C5673E7" wp14:editId="0BA92BF4">
            <wp:extent cx="5589905" cy="539115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89905" cy="5391150"/>
                    </a:xfrm>
                    <a:prstGeom prst="rect">
                      <a:avLst/>
                    </a:prstGeom>
                    <a:noFill/>
                    <a:ln>
                      <a:noFill/>
                    </a:ln>
                  </pic:spPr>
                </pic:pic>
              </a:graphicData>
            </a:graphic>
          </wp:inline>
        </w:drawing>
      </w:r>
    </w:p>
    <w:p w14:paraId="755BC137" w14:textId="77777777" w:rsidR="00E27519" w:rsidRDefault="00E27519">
      <w:pPr>
        <w:suppressAutoHyphens w:val="0"/>
        <w:spacing w:before="0"/>
        <w:ind w:right="284"/>
        <w:jc w:val="both"/>
        <w:rPr>
          <w:rFonts w:cs="Verdana"/>
          <w:b/>
          <w:i/>
          <w:szCs w:val="22"/>
          <w:lang w:eastAsia="it-IT"/>
        </w:rPr>
      </w:pPr>
    </w:p>
    <w:p w14:paraId="5C104DB2" w14:textId="77777777" w:rsidR="00E27519" w:rsidRDefault="00E27519">
      <w:pPr>
        <w:spacing w:before="0"/>
        <w:jc w:val="both"/>
        <w:rPr>
          <w:rFonts w:asciiTheme="minorHAnsi" w:hAnsiTheme="minorHAnsi"/>
          <w:b/>
          <w:sz w:val="20"/>
        </w:rPr>
      </w:pPr>
    </w:p>
    <w:p w14:paraId="78818319" w14:textId="77777777" w:rsidR="00E27519" w:rsidRDefault="00E27519">
      <w:pPr>
        <w:spacing w:before="0"/>
        <w:jc w:val="both"/>
        <w:rPr>
          <w:rFonts w:asciiTheme="minorHAnsi" w:hAnsiTheme="minorHAnsi"/>
          <w:b/>
          <w:sz w:val="20"/>
        </w:rPr>
      </w:pPr>
    </w:p>
    <w:p w14:paraId="1B8F4354" w14:textId="77777777" w:rsidR="00E27519" w:rsidRDefault="0003178C">
      <w:pPr>
        <w:pStyle w:val="Titolo3Verdana"/>
        <w:rPr>
          <w:rFonts w:asciiTheme="minorHAnsi" w:eastAsia="Calibri" w:hAnsiTheme="minorHAnsi"/>
        </w:rPr>
      </w:pPr>
      <w:bookmarkStart w:id="20" w:name="_Toc486415633"/>
      <w:r>
        <w:rPr>
          <w:rFonts w:asciiTheme="minorHAnsi" w:eastAsia="Calibri" w:hAnsiTheme="minorHAnsi"/>
        </w:rPr>
        <w:t>2.4 Prestazioni di ricovero ospedaliero</w:t>
      </w:r>
      <w:bookmarkEnd w:id="20"/>
    </w:p>
    <w:p w14:paraId="6216C10F" w14:textId="300B1B0F" w:rsidR="00E27519" w:rsidRDefault="0003178C">
      <w:pPr>
        <w:spacing w:before="0"/>
        <w:jc w:val="both"/>
        <w:rPr>
          <w:rFonts w:asciiTheme="minorHAnsi" w:hAnsiTheme="minorHAnsi"/>
          <w:sz w:val="20"/>
        </w:rPr>
      </w:pPr>
      <w:r>
        <w:rPr>
          <w:rFonts w:asciiTheme="minorHAnsi" w:hAnsiTheme="minorHAnsi"/>
          <w:sz w:val="20"/>
        </w:rPr>
        <w:t>In ottemperanza a quanto stabilito dalla normativa Nazionale e</w:t>
      </w:r>
      <w:r w:rsidR="00D947E6">
        <w:rPr>
          <w:rFonts w:asciiTheme="minorHAnsi" w:hAnsiTheme="minorHAnsi"/>
          <w:sz w:val="20"/>
        </w:rPr>
        <w:t xml:space="preserve"> </w:t>
      </w:r>
      <w:r>
        <w:rPr>
          <w:rFonts w:asciiTheme="minorHAnsi" w:hAnsiTheme="minorHAnsi"/>
          <w:sz w:val="20"/>
        </w:rPr>
        <w:t>Regionale, l’Azienda USL di Modena ha definito il proprio piano di adeguamento del percorso di gestione delle liste di attesa per gli interventi chirurgici.</w:t>
      </w:r>
    </w:p>
    <w:p w14:paraId="1DF94A99" w14:textId="0190D1A1" w:rsidR="00E27519" w:rsidRDefault="0003178C">
      <w:pPr>
        <w:spacing w:before="0"/>
        <w:jc w:val="both"/>
        <w:rPr>
          <w:rFonts w:asciiTheme="minorHAnsi" w:hAnsiTheme="minorHAnsi"/>
          <w:sz w:val="20"/>
        </w:rPr>
      </w:pPr>
      <w:r>
        <w:rPr>
          <w:rFonts w:asciiTheme="minorHAnsi" w:hAnsiTheme="minorHAnsi"/>
          <w:sz w:val="20"/>
        </w:rPr>
        <w:t>Gli obiettivi principali del piano per l’anno 2016 sono stati:</w:t>
      </w:r>
    </w:p>
    <w:p w14:paraId="7FAF8381" w14:textId="7FF0277A" w:rsidR="00E27519" w:rsidRDefault="0003178C">
      <w:pPr>
        <w:pStyle w:val="Paragrafoelenco2"/>
        <w:numPr>
          <w:ilvl w:val="0"/>
          <w:numId w:val="17"/>
        </w:numPr>
        <w:jc w:val="both"/>
        <w:rPr>
          <w:rFonts w:asciiTheme="minorHAnsi" w:hAnsiTheme="minorHAnsi"/>
        </w:rPr>
      </w:pPr>
      <w:r>
        <w:rPr>
          <w:rFonts w:asciiTheme="minorHAnsi" w:hAnsiTheme="minorHAnsi"/>
        </w:rPr>
        <w:t>Individuare una responsabilit</w:t>
      </w:r>
      <w:r w:rsidR="00D947E6">
        <w:rPr>
          <w:rFonts w:asciiTheme="minorHAnsi" w:hAnsiTheme="minorHAnsi"/>
        </w:rPr>
        <w:t xml:space="preserve">à </w:t>
      </w:r>
      <w:r>
        <w:rPr>
          <w:rFonts w:asciiTheme="minorHAnsi" w:hAnsiTheme="minorHAnsi"/>
        </w:rPr>
        <w:t>unica aziendale per il presidio degli obiettivi indicati dalla RER;</w:t>
      </w:r>
    </w:p>
    <w:p w14:paraId="0B54E759" w14:textId="77777777" w:rsidR="00E27519" w:rsidRDefault="0003178C">
      <w:pPr>
        <w:pStyle w:val="Paragrafoelenco2"/>
        <w:numPr>
          <w:ilvl w:val="0"/>
          <w:numId w:val="17"/>
        </w:numPr>
        <w:jc w:val="both"/>
        <w:rPr>
          <w:rFonts w:asciiTheme="minorHAnsi" w:hAnsiTheme="minorHAnsi"/>
        </w:rPr>
      </w:pPr>
      <w:r>
        <w:rPr>
          <w:rFonts w:asciiTheme="minorHAnsi" w:hAnsiTheme="minorHAnsi"/>
        </w:rPr>
        <w:t>Garantire univocità ed uniformità dei percorsi di accesso alle prestazioni di ricovero programmato;</w:t>
      </w:r>
    </w:p>
    <w:p w14:paraId="533C01FF" w14:textId="77777777" w:rsidR="00E27519" w:rsidRDefault="0003178C">
      <w:pPr>
        <w:pStyle w:val="Paragrafoelenco2"/>
        <w:numPr>
          <w:ilvl w:val="0"/>
          <w:numId w:val="17"/>
        </w:numPr>
        <w:jc w:val="both"/>
        <w:rPr>
          <w:rFonts w:asciiTheme="minorHAnsi" w:hAnsiTheme="minorHAnsi"/>
        </w:rPr>
      </w:pPr>
      <w:r>
        <w:rPr>
          <w:rFonts w:asciiTheme="minorHAnsi" w:hAnsiTheme="minorHAnsi"/>
        </w:rPr>
        <w:lastRenderedPageBreak/>
        <w:t>Migliorare la performance (tempi di attesa) relativamente alle prestazioni di ricovero programmato individuate come prioritarie a livello nazionale e regionale.</w:t>
      </w:r>
    </w:p>
    <w:p w14:paraId="4025641C" w14:textId="3B27771F" w:rsidR="00E27519" w:rsidRDefault="0003178C">
      <w:pPr>
        <w:spacing w:before="0"/>
        <w:jc w:val="both"/>
        <w:rPr>
          <w:rFonts w:asciiTheme="minorHAnsi" w:hAnsiTheme="minorHAnsi"/>
          <w:sz w:val="20"/>
        </w:rPr>
      </w:pPr>
      <w:r>
        <w:rPr>
          <w:rFonts w:asciiTheme="minorHAnsi" w:hAnsiTheme="minorHAnsi"/>
          <w:sz w:val="20"/>
        </w:rPr>
        <w:t>Come definito dallo specifico progetto regionale SIGLA (Sistema Integrato per la Gestione delle Liste d’Attesa), l’attenzione dell’Azienda USL di Modena si è focalizzata su:</w:t>
      </w:r>
    </w:p>
    <w:p w14:paraId="757E6328" w14:textId="77777777" w:rsidR="00E27519" w:rsidRDefault="0003178C">
      <w:pPr>
        <w:pStyle w:val="Paragrafoelenco2"/>
        <w:numPr>
          <w:ilvl w:val="0"/>
          <w:numId w:val="18"/>
        </w:numPr>
        <w:jc w:val="both"/>
        <w:rPr>
          <w:rFonts w:asciiTheme="minorHAnsi" w:hAnsiTheme="minorHAnsi"/>
        </w:rPr>
      </w:pPr>
      <w:r>
        <w:rPr>
          <w:rFonts w:asciiTheme="minorHAnsi" w:hAnsiTheme="minorHAnsi"/>
        </w:rPr>
        <w:t>Trasparenza ed equità nell'accesso alle Prestazioni di Ricovero Programmato (PRP);</w:t>
      </w:r>
    </w:p>
    <w:p w14:paraId="0CAEDF55" w14:textId="77777777" w:rsidR="00E27519" w:rsidRDefault="0003178C">
      <w:pPr>
        <w:pStyle w:val="Paragrafoelenco2"/>
        <w:numPr>
          <w:ilvl w:val="0"/>
          <w:numId w:val="18"/>
        </w:numPr>
        <w:jc w:val="both"/>
        <w:rPr>
          <w:rFonts w:asciiTheme="minorHAnsi" w:hAnsiTheme="minorHAnsi"/>
        </w:rPr>
      </w:pPr>
      <w:r>
        <w:rPr>
          <w:rFonts w:asciiTheme="minorHAnsi" w:hAnsiTheme="minorHAnsi"/>
        </w:rPr>
        <w:t>Definizione di responsabilità aziendali sulle PRP;</w:t>
      </w:r>
    </w:p>
    <w:p w14:paraId="2BBA85A4" w14:textId="77777777" w:rsidR="00E27519" w:rsidRDefault="0003178C">
      <w:pPr>
        <w:pStyle w:val="Paragrafoelenco2"/>
        <w:numPr>
          <w:ilvl w:val="0"/>
          <w:numId w:val="18"/>
        </w:numPr>
        <w:jc w:val="both"/>
        <w:rPr>
          <w:rFonts w:asciiTheme="minorHAnsi" w:hAnsiTheme="minorHAnsi"/>
        </w:rPr>
      </w:pPr>
      <w:r>
        <w:rPr>
          <w:rFonts w:asciiTheme="minorHAnsi" w:hAnsiTheme="minorHAnsi"/>
        </w:rPr>
        <w:t xml:space="preserve">Definizione di procedure unitarie ed informatizzate per l’accesso alle PRP almeno di livello aziendale; </w:t>
      </w:r>
    </w:p>
    <w:p w14:paraId="2DA59C2D" w14:textId="77777777" w:rsidR="00E27519" w:rsidRDefault="0003178C">
      <w:pPr>
        <w:pStyle w:val="Paragrafoelenco2"/>
        <w:numPr>
          <w:ilvl w:val="0"/>
          <w:numId w:val="18"/>
        </w:numPr>
        <w:jc w:val="both"/>
        <w:rPr>
          <w:rFonts w:asciiTheme="minorHAnsi" w:hAnsiTheme="minorHAnsi"/>
        </w:rPr>
      </w:pPr>
      <w:r>
        <w:rPr>
          <w:rFonts w:asciiTheme="minorHAnsi" w:hAnsiTheme="minorHAnsi"/>
        </w:rPr>
        <w:t>Garanzia di completezza del flusso dati e qualità omogenea dei percorsi</w:t>
      </w:r>
    </w:p>
    <w:p w14:paraId="45653BA5" w14:textId="77777777" w:rsidR="00E27519" w:rsidRDefault="0003178C">
      <w:pPr>
        <w:spacing w:before="0"/>
        <w:jc w:val="both"/>
        <w:rPr>
          <w:rFonts w:asciiTheme="minorHAnsi" w:hAnsiTheme="minorHAnsi"/>
          <w:sz w:val="20"/>
        </w:rPr>
      </w:pPr>
      <w:r>
        <w:rPr>
          <w:rFonts w:asciiTheme="minorHAnsi" w:hAnsiTheme="minorHAnsi"/>
          <w:sz w:val="20"/>
        </w:rPr>
        <w:t>Sono stati individuati i seguenti indicatori e target:</w:t>
      </w:r>
    </w:p>
    <w:p w14:paraId="57AE05DA" w14:textId="77777777" w:rsidR="00E27519" w:rsidRDefault="0003178C">
      <w:pPr>
        <w:pStyle w:val="Paragrafoelenco2"/>
        <w:numPr>
          <w:ilvl w:val="0"/>
          <w:numId w:val="19"/>
        </w:numPr>
        <w:jc w:val="both"/>
        <w:rPr>
          <w:rFonts w:asciiTheme="minorHAnsi" w:hAnsiTheme="minorHAnsi"/>
        </w:rPr>
      </w:pPr>
      <w:r>
        <w:rPr>
          <w:rFonts w:asciiTheme="minorHAnsi" w:hAnsiTheme="minorHAnsi"/>
        </w:rPr>
        <w:t>Calcolo dei Tempi di Attesa dai dati retrospettivi della SDO per Azienda:</w:t>
      </w:r>
    </w:p>
    <w:p w14:paraId="4A235F07" w14:textId="77777777" w:rsidR="00E27519" w:rsidRDefault="0003178C">
      <w:pPr>
        <w:pStyle w:val="Paragrafoelenco2"/>
        <w:numPr>
          <w:ilvl w:val="1"/>
          <w:numId w:val="19"/>
        </w:numPr>
        <w:jc w:val="both"/>
        <w:rPr>
          <w:rFonts w:asciiTheme="minorHAnsi" w:hAnsiTheme="minorHAnsi"/>
        </w:rPr>
      </w:pPr>
      <w:r>
        <w:rPr>
          <w:rFonts w:asciiTheme="minorHAnsi" w:hAnsiTheme="minorHAnsi"/>
        </w:rPr>
        <w:t>Per i tumori selezionati: 90% dei casi entro 30 giorni;</w:t>
      </w:r>
    </w:p>
    <w:p w14:paraId="4A01596C" w14:textId="77777777" w:rsidR="00E27519" w:rsidRDefault="0003178C">
      <w:pPr>
        <w:pStyle w:val="Paragrafoelenco2"/>
        <w:numPr>
          <w:ilvl w:val="1"/>
          <w:numId w:val="19"/>
        </w:numPr>
        <w:jc w:val="both"/>
        <w:rPr>
          <w:rFonts w:asciiTheme="minorHAnsi" w:hAnsiTheme="minorHAnsi"/>
        </w:rPr>
      </w:pPr>
      <w:r>
        <w:rPr>
          <w:rFonts w:asciiTheme="minorHAnsi" w:hAnsiTheme="minorHAnsi"/>
        </w:rPr>
        <w:t>Per le protesi d’anca: 90% dei casi entro 180 giorni;</w:t>
      </w:r>
    </w:p>
    <w:p w14:paraId="30D061D2" w14:textId="77777777" w:rsidR="00E27519" w:rsidRDefault="0003178C">
      <w:pPr>
        <w:pStyle w:val="Paragrafoelenco2"/>
        <w:numPr>
          <w:ilvl w:val="1"/>
          <w:numId w:val="19"/>
        </w:numPr>
        <w:jc w:val="both"/>
        <w:rPr>
          <w:rFonts w:asciiTheme="minorHAnsi" w:hAnsiTheme="minorHAnsi"/>
        </w:rPr>
      </w:pPr>
      <w:r>
        <w:rPr>
          <w:rFonts w:asciiTheme="minorHAnsi" w:hAnsiTheme="minorHAnsi"/>
        </w:rPr>
        <w:t>Per tutte le altre prestazioni oggetto di monitoraggio: 90% entro la classe di priorità segnalata.</w:t>
      </w:r>
    </w:p>
    <w:p w14:paraId="45458A1C" w14:textId="77777777" w:rsidR="00E27519" w:rsidRDefault="00E27519">
      <w:pPr>
        <w:spacing w:before="0"/>
        <w:jc w:val="both"/>
        <w:rPr>
          <w:rFonts w:asciiTheme="minorHAnsi" w:hAnsiTheme="minorHAnsi"/>
          <w:sz w:val="20"/>
        </w:rPr>
      </w:pPr>
    </w:p>
    <w:p w14:paraId="17D01F54" w14:textId="77777777" w:rsidR="00E27519" w:rsidRDefault="0003178C">
      <w:pPr>
        <w:spacing w:before="0"/>
        <w:jc w:val="both"/>
        <w:rPr>
          <w:rFonts w:asciiTheme="minorHAnsi" w:hAnsiTheme="minorHAnsi"/>
          <w:sz w:val="20"/>
        </w:rPr>
      </w:pPr>
      <w:r>
        <w:rPr>
          <w:rFonts w:asciiTheme="minorHAnsi" w:hAnsiTheme="minorHAnsi"/>
          <w:sz w:val="20"/>
        </w:rPr>
        <w:t>I principali risultati ottenuti nel 2016 sono stati:</w:t>
      </w:r>
    </w:p>
    <w:p w14:paraId="264E941D" w14:textId="3519DC9A" w:rsidR="00E27519" w:rsidRDefault="0003178C">
      <w:pPr>
        <w:pStyle w:val="Paragrafoelenco2"/>
        <w:numPr>
          <w:ilvl w:val="0"/>
          <w:numId w:val="19"/>
        </w:numPr>
        <w:jc w:val="both"/>
        <w:rPr>
          <w:rFonts w:asciiTheme="minorHAnsi" w:hAnsiTheme="minorHAnsi"/>
        </w:rPr>
      </w:pPr>
      <w:r>
        <w:rPr>
          <w:rFonts w:asciiTheme="minorHAnsi" w:hAnsiTheme="minorHAnsi"/>
        </w:rPr>
        <w:t>Individuato il Responsabile Unico delle liste di Attesa (RUA) delle prestazioni di ricovero programmato (giugno 2016);</w:t>
      </w:r>
    </w:p>
    <w:p w14:paraId="2F94D1A9" w14:textId="77777777" w:rsidR="00E27519" w:rsidRDefault="0003178C">
      <w:pPr>
        <w:pStyle w:val="Paragrafoelenco2"/>
        <w:numPr>
          <w:ilvl w:val="0"/>
          <w:numId w:val="19"/>
        </w:numPr>
        <w:jc w:val="both"/>
        <w:rPr>
          <w:rFonts w:asciiTheme="minorHAnsi" w:hAnsiTheme="minorHAnsi"/>
        </w:rPr>
      </w:pPr>
      <w:r>
        <w:rPr>
          <w:rFonts w:asciiTheme="minorHAnsi" w:hAnsiTheme="minorHAnsi"/>
        </w:rPr>
        <w:t>Attuate modalità di verifica delle liste di attesa per ricoveri programmati;</w:t>
      </w:r>
    </w:p>
    <w:p w14:paraId="7B3C11EA" w14:textId="77777777" w:rsidR="00E27519" w:rsidRDefault="0003178C">
      <w:pPr>
        <w:pStyle w:val="Paragrafoelenco2"/>
        <w:numPr>
          <w:ilvl w:val="0"/>
          <w:numId w:val="19"/>
        </w:numPr>
        <w:jc w:val="both"/>
        <w:rPr>
          <w:rFonts w:asciiTheme="minorHAnsi" w:hAnsiTheme="minorHAnsi"/>
        </w:rPr>
      </w:pPr>
      <w:r>
        <w:rPr>
          <w:rFonts w:asciiTheme="minorHAnsi" w:hAnsiTheme="minorHAnsi"/>
        </w:rPr>
        <w:t>Definito progetto di riorganizzazione del percorso chirurgico aziendale secondo la DGR 2040/15, con particolare attenzione alla definizione delle strategie di riorganizzazione della rete ospedaliera e smistamento della casistica.</w:t>
      </w:r>
    </w:p>
    <w:p w14:paraId="4A882FD3" w14:textId="77777777" w:rsidR="00E27519" w:rsidRDefault="0003178C">
      <w:pPr>
        <w:pStyle w:val="Paragrafoelenco2"/>
        <w:numPr>
          <w:ilvl w:val="0"/>
          <w:numId w:val="19"/>
        </w:numPr>
        <w:jc w:val="both"/>
        <w:rPr>
          <w:rFonts w:asciiTheme="minorHAnsi" w:hAnsiTheme="minorHAnsi"/>
        </w:rPr>
      </w:pPr>
      <w:r>
        <w:rPr>
          <w:rFonts w:asciiTheme="minorHAnsi" w:hAnsiTheme="minorHAnsi"/>
        </w:rPr>
        <w:t xml:space="preserve">Creazione di gruppi multidisciplinari e </w:t>
      </w:r>
      <w:proofErr w:type="spellStart"/>
      <w:r>
        <w:rPr>
          <w:rFonts w:asciiTheme="minorHAnsi" w:hAnsiTheme="minorHAnsi"/>
        </w:rPr>
        <w:t>multiprofessionali</w:t>
      </w:r>
      <w:proofErr w:type="spellEnd"/>
      <w:r>
        <w:rPr>
          <w:rFonts w:asciiTheme="minorHAnsi" w:hAnsiTheme="minorHAnsi"/>
        </w:rPr>
        <w:t xml:space="preserve"> per Area territoriale finalizzati al governo delle liste d’attesa e del percorso chirurgico attraverso: definizione delle classi di priorità e dei </w:t>
      </w:r>
      <w:proofErr w:type="spellStart"/>
      <w:r>
        <w:rPr>
          <w:rFonts w:asciiTheme="minorHAnsi" w:hAnsiTheme="minorHAnsi"/>
        </w:rPr>
        <w:t>setting</w:t>
      </w:r>
      <w:proofErr w:type="spellEnd"/>
      <w:r>
        <w:rPr>
          <w:rFonts w:asciiTheme="minorHAnsi" w:hAnsiTheme="minorHAnsi"/>
        </w:rPr>
        <w:t xml:space="preserve"> assistenziali di erogazione degli interventi; definizione dei profili degli esami di pre-ricovero; pianificazione delle sedute operatorie al fine di aumentare la produttività della piattaforma blocco operatorio.</w:t>
      </w:r>
    </w:p>
    <w:p w14:paraId="659F8831" w14:textId="1B2686B9" w:rsidR="00E27519" w:rsidRDefault="0003178C">
      <w:pPr>
        <w:pStyle w:val="Paragrafoelenco2"/>
        <w:numPr>
          <w:ilvl w:val="0"/>
          <w:numId w:val="19"/>
        </w:numPr>
        <w:jc w:val="both"/>
        <w:rPr>
          <w:rFonts w:asciiTheme="minorHAnsi" w:hAnsiTheme="minorHAnsi"/>
        </w:rPr>
      </w:pPr>
      <w:r>
        <w:rPr>
          <w:rFonts w:asciiTheme="minorHAnsi" w:hAnsiTheme="minorHAnsi"/>
        </w:rPr>
        <w:t xml:space="preserve">Presidio da parte della  Direzione Operativa dei processi primari del percorso chirurgico presso ciascuno Stabilimento Ospedaliero </w:t>
      </w:r>
    </w:p>
    <w:p w14:paraId="1BB83670" w14:textId="77777777" w:rsidR="00DD4B5B" w:rsidRDefault="00DD4B5B">
      <w:pPr>
        <w:spacing w:before="0"/>
        <w:jc w:val="both"/>
        <w:rPr>
          <w:rFonts w:asciiTheme="minorHAnsi" w:hAnsiTheme="minorHAnsi"/>
          <w:sz w:val="20"/>
        </w:rPr>
      </w:pPr>
    </w:p>
    <w:p w14:paraId="7EFCE59C" w14:textId="45EE4871" w:rsidR="00E27519" w:rsidRPr="00DD4B5B" w:rsidRDefault="0003178C">
      <w:pPr>
        <w:spacing w:before="0"/>
        <w:jc w:val="both"/>
        <w:rPr>
          <w:rFonts w:asciiTheme="minorHAnsi" w:hAnsiTheme="minorHAnsi"/>
          <w:sz w:val="20"/>
        </w:rPr>
      </w:pPr>
      <w:r w:rsidRPr="00DD4B5B">
        <w:rPr>
          <w:rFonts w:asciiTheme="minorHAnsi" w:hAnsiTheme="minorHAnsi"/>
          <w:sz w:val="20"/>
        </w:rPr>
        <w:t>Nell'anno 2016</w:t>
      </w:r>
      <w:r w:rsidR="00E8699E" w:rsidRPr="00DD4B5B">
        <w:rPr>
          <w:rFonts w:asciiTheme="minorHAnsi" w:hAnsiTheme="minorHAnsi"/>
          <w:sz w:val="20"/>
        </w:rPr>
        <w:t xml:space="preserve"> </w:t>
      </w:r>
      <w:r w:rsidRPr="00DD4B5B">
        <w:rPr>
          <w:rFonts w:asciiTheme="minorHAnsi" w:hAnsiTheme="minorHAnsi"/>
          <w:sz w:val="20"/>
        </w:rPr>
        <w:t xml:space="preserve">sono stati registrati i </w:t>
      </w:r>
      <w:r w:rsidR="00DD4B5B">
        <w:rPr>
          <w:rFonts w:asciiTheme="minorHAnsi" w:hAnsiTheme="minorHAnsi"/>
          <w:sz w:val="20"/>
        </w:rPr>
        <w:t>risultati</w:t>
      </w:r>
      <w:r w:rsidRPr="00DD4B5B">
        <w:rPr>
          <w:rFonts w:asciiTheme="minorHAnsi" w:hAnsiTheme="minorHAnsi"/>
          <w:sz w:val="20"/>
        </w:rPr>
        <w:t xml:space="preserve"> </w:t>
      </w:r>
      <w:r w:rsidR="00DD4B5B">
        <w:rPr>
          <w:rFonts w:asciiTheme="minorHAnsi" w:hAnsiTheme="minorHAnsi"/>
          <w:sz w:val="20"/>
        </w:rPr>
        <w:t>d</w:t>
      </w:r>
      <w:r w:rsidRPr="00DD4B5B">
        <w:rPr>
          <w:rFonts w:asciiTheme="minorHAnsi" w:hAnsiTheme="minorHAnsi"/>
          <w:sz w:val="20"/>
        </w:rPr>
        <w:t>elle seguenti tabelle</w:t>
      </w:r>
      <w:r w:rsidR="00DD4B5B">
        <w:rPr>
          <w:rFonts w:asciiTheme="minorHAnsi" w:hAnsiTheme="minorHAnsi"/>
          <w:sz w:val="20"/>
        </w:rPr>
        <w:t xml:space="preserve">; per ulteriori informazioni si rimanda agli obiettivi rendicontati nell’Allegato 1 alla presente Relazione. </w:t>
      </w:r>
      <w:r w:rsidR="00E8699E" w:rsidRPr="00DD4B5B">
        <w:rPr>
          <w:rFonts w:asciiTheme="minorHAnsi" w:hAnsiTheme="minorHAnsi"/>
          <w:sz w:val="20"/>
        </w:rPr>
        <w:t xml:space="preserve"> </w:t>
      </w:r>
    </w:p>
    <w:p w14:paraId="39736A0D" w14:textId="77777777" w:rsidR="00DD4B5B" w:rsidRDefault="00DD4B5B">
      <w:pPr>
        <w:spacing w:before="0"/>
        <w:jc w:val="both"/>
        <w:rPr>
          <w:rFonts w:asciiTheme="minorHAnsi" w:hAnsiTheme="minorHAnsi"/>
          <w:b/>
          <w:sz w:val="20"/>
        </w:rPr>
      </w:pPr>
    </w:p>
    <w:p w14:paraId="5980CA5E" w14:textId="3DA017D0" w:rsidR="00E27519" w:rsidRPr="00DD4B5B" w:rsidRDefault="0003178C">
      <w:pPr>
        <w:spacing w:before="0"/>
        <w:jc w:val="both"/>
        <w:rPr>
          <w:rFonts w:asciiTheme="minorHAnsi" w:hAnsiTheme="minorHAnsi"/>
          <w:b/>
          <w:sz w:val="20"/>
        </w:rPr>
      </w:pPr>
      <w:r w:rsidRPr="00DD4B5B">
        <w:rPr>
          <w:rFonts w:asciiTheme="minorHAnsi" w:hAnsiTheme="minorHAnsi"/>
          <w:b/>
          <w:sz w:val="20"/>
        </w:rPr>
        <w:t xml:space="preserve">TABELLA </w:t>
      </w:r>
      <w:r w:rsidR="00DD4B5B" w:rsidRPr="00DD4B5B">
        <w:rPr>
          <w:rFonts w:asciiTheme="minorHAnsi" w:hAnsiTheme="minorHAnsi"/>
          <w:b/>
          <w:sz w:val="20"/>
        </w:rPr>
        <w:t>1</w:t>
      </w:r>
      <w:r w:rsidRPr="00DD4B5B">
        <w:rPr>
          <w:rFonts w:asciiTheme="minorHAnsi" w:hAnsiTheme="minorHAnsi"/>
          <w:b/>
          <w:sz w:val="20"/>
        </w:rPr>
        <w:t>: TASSO PERCENTUALE DI INTERVENTI PROTESI D’ANCA EFFETTUATI ENTRO 180 GIORNI</w:t>
      </w:r>
    </w:p>
    <w:tbl>
      <w:tblPr>
        <w:tblStyle w:val="Grigliatabella"/>
        <w:tblW w:w="10196" w:type="dxa"/>
        <w:tblLayout w:type="fixed"/>
        <w:tblLook w:val="04A0" w:firstRow="1" w:lastRow="0" w:firstColumn="1" w:lastColumn="0" w:noHBand="0" w:noVBand="1"/>
      </w:tblPr>
      <w:tblGrid>
        <w:gridCol w:w="5706"/>
        <w:gridCol w:w="4490"/>
      </w:tblGrid>
      <w:tr w:rsidR="00E27519" w14:paraId="19BED093" w14:textId="77777777">
        <w:trPr>
          <w:trHeight w:val="267"/>
        </w:trPr>
        <w:tc>
          <w:tcPr>
            <w:tcW w:w="5706" w:type="dxa"/>
          </w:tcPr>
          <w:p w14:paraId="3CE0668E" w14:textId="77777777" w:rsidR="00E27519" w:rsidRDefault="0003178C">
            <w:pPr>
              <w:jc w:val="both"/>
              <w:rPr>
                <w:b/>
                <w:sz w:val="20"/>
              </w:rPr>
            </w:pPr>
            <w:r>
              <w:rPr>
                <w:b/>
                <w:sz w:val="20"/>
              </w:rPr>
              <w:t>INTERVENTO CHIRURGICO OGGETTO DI MONITORAGGIO</w:t>
            </w:r>
          </w:p>
        </w:tc>
        <w:tc>
          <w:tcPr>
            <w:tcW w:w="4490" w:type="dxa"/>
          </w:tcPr>
          <w:p w14:paraId="07CB350C" w14:textId="77777777" w:rsidR="00E27519" w:rsidRDefault="0003178C">
            <w:pPr>
              <w:jc w:val="both"/>
              <w:rPr>
                <w:b/>
                <w:sz w:val="20"/>
              </w:rPr>
            </w:pPr>
            <w:r>
              <w:rPr>
                <w:b/>
                <w:sz w:val="20"/>
              </w:rPr>
              <w:t>% DI PAZIENTI OPERATI ENTRO I 180 GIORNI</w:t>
            </w:r>
          </w:p>
        </w:tc>
      </w:tr>
      <w:tr w:rsidR="00E27519" w14:paraId="6A5682E5" w14:textId="77777777">
        <w:trPr>
          <w:trHeight w:val="267"/>
        </w:trPr>
        <w:tc>
          <w:tcPr>
            <w:tcW w:w="5706" w:type="dxa"/>
          </w:tcPr>
          <w:p w14:paraId="48544841" w14:textId="77777777" w:rsidR="00E27519" w:rsidRDefault="0003178C">
            <w:pPr>
              <w:jc w:val="both"/>
              <w:rPr>
                <w:sz w:val="20"/>
              </w:rPr>
            </w:pPr>
            <w:r>
              <w:rPr>
                <w:sz w:val="20"/>
              </w:rPr>
              <w:t>Protesi d’anca</w:t>
            </w:r>
          </w:p>
        </w:tc>
        <w:tc>
          <w:tcPr>
            <w:tcW w:w="4490" w:type="dxa"/>
          </w:tcPr>
          <w:p w14:paraId="6464CFEF" w14:textId="77777777" w:rsidR="00E27519" w:rsidRDefault="0003178C">
            <w:pPr>
              <w:jc w:val="center"/>
              <w:rPr>
                <w:sz w:val="20"/>
              </w:rPr>
            </w:pPr>
            <w:r>
              <w:rPr>
                <w:sz w:val="20"/>
              </w:rPr>
              <w:t>80,5%;</w:t>
            </w:r>
          </w:p>
          <w:p w14:paraId="0A89FA5D" w14:textId="77777777" w:rsidR="00E27519" w:rsidRDefault="0003178C">
            <w:pPr>
              <w:jc w:val="center"/>
              <w:rPr>
                <w:sz w:val="20"/>
              </w:rPr>
            </w:pPr>
            <w:r>
              <w:rPr>
                <w:sz w:val="20"/>
              </w:rPr>
              <w:t>in aumento rispetto al 2015 (78,1%)</w:t>
            </w:r>
          </w:p>
        </w:tc>
      </w:tr>
    </w:tbl>
    <w:p w14:paraId="13E8857A" w14:textId="77777777" w:rsidR="00E27519" w:rsidRDefault="00E27519">
      <w:pPr>
        <w:spacing w:before="0"/>
        <w:jc w:val="both"/>
        <w:rPr>
          <w:rFonts w:asciiTheme="minorHAnsi" w:hAnsiTheme="minorHAnsi"/>
          <w:b/>
          <w:sz w:val="20"/>
        </w:rPr>
      </w:pPr>
    </w:p>
    <w:p w14:paraId="22372AD8" w14:textId="77777777" w:rsidR="00DD4B5B" w:rsidRDefault="00DD4B5B">
      <w:pPr>
        <w:suppressAutoHyphens w:val="0"/>
        <w:spacing w:before="0"/>
        <w:rPr>
          <w:rFonts w:asciiTheme="minorHAnsi" w:hAnsiTheme="minorHAnsi"/>
          <w:b/>
          <w:sz w:val="20"/>
        </w:rPr>
      </w:pPr>
      <w:r>
        <w:rPr>
          <w:rFonts w:asciiTheme="minorHAnsi" w:hAnsiTheme="minorHAnsi"/>
          <w:b/>
          <w:sz w:val="20"/>
        </w:rPr>
        <w:br w:type="page"/>
      </w:r>
    </w:p>
    <w:p w14:paraId="5A555D94" w14:textId="129CBE24" w:rsidR="00E27519" w:rsidRDefault="00DD4B5B">
      <w:pPr>
        <w:spacing w:before="0"/>
        <w:jc w:val="both"/>
        <w:rPr>
          <w:rFonts w:asciiTheme="minorHAnsi" w:hAnsiTheme="minorHAnsi"/>
          <w:b/>
          <w:sz w:val="20"/>
        </w:rPr>
      </w:pPr>
      <w:r>
        <w:rPr>
          <w:rFonts w:asciiTheme="minorHAnsi" w:hAnsiTheme="minorHAnsi"/>
          <w:b/>
          <w:sz w:val="20"/>
        </w:rPr>
        <w:lastRenderedPageBreak/>
        <w:t>TABELLA 2</w:t>
      </w:r>
      <w:r w:rsidR="0003178C">
        <w:rPr>
          <w:rFonts w:asciiTheme="minorHAnsi" w:hAnsiTheme="minorHAnsi"/>
          <w:b/>
          <w:sz w:val="20"/>
        </w:rPr>
        <w:t>: TASSO PERCENTUALE DI INTERVENTI MONITORATI EFFETTUATI ENTRO TEMPI PREVISTI DALLA CLASSE DI PRIORITA’</w:t>
      </w:r>
    </w:p>
    <w:tbl>
      <w:tblPr>
        <w:tblStyle w:val="Grigliatabella"/>
        <w:tblW w:w="10196" w:type="dxa"/>
        <w:tblLayout w:type="fixed"/>
        <w:tblLook w:val="04A0" w:firstRow="1" w:lastRow="0" w:firstColumn="1" w:lastColumn="0" w:noHBand="0" w:noVBand="1"/>
      </w:tblPr>
      <w:tblGrid>
        <w:gridCol w:w="5396"/>
        <w:gridCol w:w="4800"/>
      </w:tblGrid>
      <w:tr w:rsidR="00E27519" w14:paraId="1E1A87E8" w14:textId="77777777">
        <w:trPr>
          <w:trHeight w:val="267"/>
        </w:trPr>
        <w:tc>
          <w:tcPr>
            <w:tcW w:w="5396" w:type="dxa"/>
          </w:tcPr>
          <w:p w14:paraId="17F3E2D1" w14:textId="77777777" w:rsidR="00E27519" w:rsidRDefault="0003178C">
            <w:pPr>
              <w:jc w:val="both"/>
              <w:rPr>
                <w:b/>
                <w:sz w:val="20"/>
              </w:rPr>
            </w:pPr>
            <w:r>
              <w:rPr>
                <w:b/>
                <w:sz w:val="20"/>
              </w:rPr>
              <w:t>INTERVENTO CHIRURGICO OGGETTO DI MONITORAGGIO</w:t>
            </w:r>
          </w:p>
        </w:tc>
        <w:tc>
          <w:tcPr>
            <w:tcW w:w="4800" w:type="dxa"/>
          </w:tcPr>
          <w:p w14:paraId="02511C8F" w14:textId="77777777" w:rsidR="00E27519" w:rsidRDefault="0003178C">
            <w:pPr>
              <w:jc w:val="center"/>
              <w:rPr>
                <w:b/>
                <w:sz w:val="20"/>
              </w:rPr>
            </w:pPr>
            <w:r>
              <w:rPr>
                <w:b/>
                <w:sz w:val="20"/>
              </w:rPr>
              <w:t>% DI PAZIENTI OPERATI ENTRO I GIORNI</w:t>
            </w:r>
          </w:p>
          <w:p w14:paraId="7CC14900" w14:textId="77777777" w:rsidR="00E27519" w:rsidRDefault="0003178C">
            <w:pPr>
              <w:jc w:val="center"/>
              <w:rPr>
                <w:b/>
                <w:sz w:val="20"/>
              </w:rPr>
            </w:pPr>
            <w:r>
              <w:rPr>
                <w:b/>
                <w:sz w:val="20"/>
              </w:rPr>
              <w:t>PREVISTI DALLA CLASSE DI PRIORITÀ ASSEGNATA</w:t>
            </w:r>
          </w:p>
        </w:tc>
      </w:tr>
      <w:tr w:rsidR="00E27519" w14:paraId="633571C2" w14:textId="77777777">
        <w:trPr>
          <w:trHeight w:val="267"/>
        </w:trPr>
        <w:tc>
          <w:tcPr>
            <w:tcW w:w="5396" w:type="dxa"/>
          </w:tcPr>
          <w:p w14:paraId="7ADC7FE8" w14:textId="77777777" w:rsidR="00E27519" w:rsidRDefault="0003178C">
            <w:pPr>
              <w:jc w:val="both"/>
              <w:rPr>
                <w:sz w:val="20"/>
              </w:rPr>
            </w:pPr>
            <w:r>
              <w:rPr>
                <w:sz w:val="20"/>
              </w:rPr>
              <w:t>Patologia anale - emorroidi</w:t>
            </w:r>
          </w:p>
        </w:tc>
        <w:tc>
          <w:tcPr>
            <w:tcW w:w="4800" w:type="dxa"/>
          </w:tcPr>
          <w:p w14:paraId="7823E30F" w14:textId="77777777" w:rsidR="00E27519" w:rsidRDefault="0003178C">
            <w:pPr>
              <w:jc w:val="center"/>
              <w:rPr>
                <w:sz w:val="20"/>
              </w:rPr>
            </w:pPr>
            <w:r>
              <w:rPr>
                <w:sz w:val="20"/>
              </w:rPr>
              <w:t>56,5%;</w:t>
            </w:r>
          </w:p>
          <w:p w14:paraId="13CAB95A" w14:textId="68A030AC" w:rsidR="00E27519" w:rsidRDefault="0003178C">
            <w:pPr>
              <w:jc w:val="center"/>
              <w:rPr>
                <w:sz w:val="20"/>
              </w:rPr>
            </w:pPr>
            <w:r>
              <w:rPr>
                <w:sz w:val="20"/>
              </w:rPr>
              <w:t>in aumento rispetto al 2015</w:t>
            </w:r>
            <w:r w:rsidR="00E8699E">
              <w:rPr>
                <w:sz w:val="20"/>
              </w:rPr>
              <w:t xml:space="preserve"> </w:t>
            </w:r>
            <w:r>
              <w:rPr>
                <w:sz w:val="20"/>
              </w:rPr>
              <w:t>(41,9%)</w:t>
            </w:r>
          </w:p>
        </w:tc>
      </w:tr>
      <w:tr w:rsidR="00E27519" w14:paraId="5F1AD705" w14:textId="77777777">
        <w:trPr>
          <w:trHeight w:val="252"/>
        </w:trPr>
        <w:tc>
          <w:tcPr>
            <w:tcW w:w="5396" w:type="dxa"/>
          </w:tcPr>
          <w:p w14:paraId="145A04EF" w14:textId="77777777" w:rsidR="00E27519" w:rsidRDefault="0003178C">
            <w:pPr>
              <w:jc w:val="both"/>
              <w:rPr>
                <w:sz w:val="20"/>
              </w:rPr>
            </w:pPr>
            <w:r>
              <w:rPr>
                <w:sz w:val="20"/>
              </w:rPr>
              <w:t>Patologia erniaria- ernia inguinale</w:t>
            </w:r>
          </w:p>
          <w:p w14:paraId="5C7BF60D" w14:textId="77777777" w:rsidR="00E27519" w:rsidRDefault="00E27519">
            <w:pPr>
              <w:jc w:val="both"/>
              <w:rPr>
                <w:sz w:val="20"/>
              </w:rPr>
            </w:pPr>
          </w:p>
        </w:tc>
        <w:tc>
          <w:tcPr>
            <w:tcW w:w="4800" w:type="dxa"/>
          </w:tcPr>
          <w:p w14:paraId="1A9B3787" w14:textId="77777777" w:rsidR="00E27519" w:rsidRDefault="0003178C">
            <w:pPr>
              <w:jc w:val="center"/>
              <w:rPr>
                <w:sz w:val="20"/>
              </w:rPr>
            </w:pPr>
            <w:r>
              <w:rPr>
                <w:sz w:val="20"/>
              </w:rPr>
              <w:t>61,7%;</w:t>
            </w:r>
          </w:p>
          <w:p w14:paraId="4FADF19C" w14:textId="6F9814FB" w:rsidR="00E27519" w:rsidRDefault="0003178C" w:rsidP="00E8699E">
            <w:pPr>
              <w:jc w:val="center"/>
              <w:rPr>
                <w:sz w:val="20"/>
              </w:rPr>
            </w:pPr>
            <w:r>
              <w:rPr>
                <w:sz w:val="20"/>
              </w:rPr>
              <w:t>in aumento rispetto al 2015</w:t>
            </w:r>
            <w:r w:rsidR="00E8699E">
              <w:rPr>
                <w:sz w:val="20"/>
              </w:rPr>
              <w:t xml:space="preserve"> </w:t>
            </w:r>
            <w:r>
              <w:rPr>
                <w:sz w:val="20"/>
              </w:rPr>
              <w:t>59,4%)</w:t>
            </w:r>
          </w:p>
        </w:tc>
      </w:tr>
      <w:tr w:rsidR="00E27519" w14:paraId="61650B07" w14:textId="77777777">
        <w:trPr>
          <w:trHeight w:val="267"/>
        </w:trPr>
        <w:tc>
          <w:tcPr>
            <w:tcW w:w="5396" w:type="dxa"/>
          </w:tcPr>
          <w:p w14:paraId="23B7C37E" w14:textId="77777777" w:rsidR="00E27519" w:rsidRDefault="0003178C">
            <w:pPr>
              <w:jc w:val="both"/>
              <w:rPr>
                <w:sz w:val="20"/>
              </w:rPr>
            </w:pPr>
            <w:r>
              <w:rPr>
                <w:sz w:val="20"/>
              </w:rPr>
              <w:t xml:space="preserve">Patologie di naso e gola – tonsille e adenoidi </w:t>
            </w:r>
          </w:p>
        </w:tc>
        <w:tc>
          <w:tcPr>
            <w:tcW w:w="4800" w:type="dxa"/>
          </w:tcPr>
          <w:p w14:paraId="5BD38918" w14:textId="77777777" w:rsidR="00E27519" w:rsidRDefault="0003178C">
            <w:pPr>
              <w:jc w:val="center"/>
              <w:rPr>
                <w:sz w:val="20"/>
              </w:rPr>
            </w:pPr>
            <w:r>
              <w:rPr>
                <w:sz w:val="20"/>
              </w:rPr>
              <w:t>60,3%;</w:t>
            </w:r>
          </w:p>
          <w:p w14:paraId="5D3F5321" w14:textId="3869E2A9" w:rsidR="00E27519" w:rsidRDefault="0003178C">
            <w:pPr>
              <w:jc w:val="center"/>
              <w:rPr>
                <w:sz w:val="20"/>
              </w:rPr>
            </w:pPr>
            <w:r>
              <w:rPr>
                <w:sz w:val="20"/>
              </w:rPr>
              <w:t>in aumento rispetto al 2015</w:t>
            </w:r>
            <w:r w:rsidR="00E8699E">
              <w:rPr>
                <w:sz w:val="20"/>
              </w:rPr>
              <w:t xml:space="preserve"> </w:t>
            </w:r>
            <w:r>
              <w:rPr>
                <w:sz w:val="20"/>
              </w:rPr>
              <w:t>(51,4%)</w:t>
            </w:r>
          </w:p>
        </w:tc>
      </w:tr>
    </w:tbl>
    <w:p w14:paraId="7C64F6E9" w14:textId="77777777" w:rsidR="00E27519" w:rsidRDefault="00E27519">
      <w:pPr>
        <w:spacing w:before="0"/>
        <w:jc w:val="both"/>
        <w:rPr>
          <w:rFonts w:asciiTheme="minorHAnsi" w:hAnsiTheme="minorHAnsi"/>
          <w:b/>
          <w:sz w:val="20"/>
        </w:rPr>
      </w:pPr>
    </w:p>
    <w:p w14:paraId="48615403" w14:textId="77777777" w:rsidR="00E27519" w:rsidRDefault="00E27519">
      <w:pPr>
        <w:spacing w:before="0"/>
        <w:jc w:val="both"/>
        <w:rPr>
          <w:rFonts w:asciiTheme="minorHAnsi" w:hAnsiTheme="minorHAnsi"/>
          <w:b/>
          <w:sz w:val="20"/>
        </w:rPr>
      </w:pPr>
    </w:p>
    <w:p w14:paraId="58E0CB3C" w14:textId="77777777" w:rsidR="00E27519" w:rsidRDefault="0003178C">
      <w:pPr>
        <w:pStyle w:val="Titolo3Verdana"/>
        <w:rPr>
          <w:rFonts w:asciiTheme="minorHAnsi" w:eastAsia="Calibri" w:hAnsiTheme="minorHAnsi"/>
        </w:rPr>
      </w:pPr>
      <w:bookmarkStart w:id="21" w:name="_Toc486415634"/>
      <w:r>
        <w:rPr>
          <w:rFonts w:asciiTheme="minorHAnsi" w:eastAsia="Calibri" w:hAnsiTheme="minorHAnsi"/>
        </w:rPr>
        <w:t>2.5 L’accesso ai servizi di salute mentale</w:t>
      </w:r>
      <w:bookmarkEnd w:id="21"/>
      <w:r>
        <w:rPr>
          <w:rFonts w:asciiTheme="minorHAnsi" w:eastAsia="Calibri" w:hAnsiTheme="minorHAnsi"/>
        </w:rPr>
        <w:t xml:space="preserve"> </w:t>
      </w:r>
    </w:p>
    <w:p w14:paraId="42E195F6" w14:textId="77777777" w:rsidR="00E27519" w:rsidRDefault="0003178C">
      <w:pPr>
        <w:spacing w:before="0"/>
        <w:jc w:val="both"/>
        <w:rPr>
          <w:rFonts w:asciiTheme="minorHAnsi" w:hAnsiTheme="minorHAnsi"/>
          <w:sz w:val="20"/>
        </w:rPr>
      </w:pPr>
      <w:bookmarkStart w:id="22" w:name="_Toc461708199"/>
      <w:bookmarkEnd w:id="22"/>
      <w:r>
        <w:rPr>
          <w:rFonts w:asciiTheme="minorHAnsi" w:hAnsiTheme="minorHAnsi"/>
          <w:sz w:val="20"/>
        </w:rPr>
        <w:t>Nel 2016 il tasso dei residenti maggiorenni trattati presso il settore Salute Mentale Adulti (SMA) è stato pari a 193,6 x 10.000; il tasso dei cittadini che hanno avuto un primo contatto con il settore SMA è stato pari a 37,6 x 10.000 residenti maggiorenni.</w:t>
      </w:r>
    </w:p>
    <w:p w14:paraId="6342DE0C" w14:textId="77777777" w:rsidR="00E27519" w:rsidRDefault="0003178C">
      <w:pPr>
        <w:spacing w:before="0"/>
        <w:jc w:val="both"/>
        <w:rPr>
          <w:rFonts w:asciiTheme="minorHAnsi" w:hAnsiTheme="minorHAnsi"/>
          <w:sz w:val="20"/>
        </w:rPr>
      </w:pPr>
      <w:r>
        <w:rPr>
          <w:rFonts w:asciiTheme="minorHAnsi" w:hAnsiTheme="minorHAnsi"/>
          <w:sz w:val="20"/>
        </w:rPr>
        <w:t>Nell'anno 2016, il tasso complessivo di ospedalizzazione in acuto dei residenti maggiorenni nella provincia di Modena è stato pari a 25,0 x 10.000, in riduzione dell'11% rispetto all'anno precedente.</w:t>
      </w:r>
    </w:p>
    <w:p w14:paraId="174D70D7" w14:textId="77777777" w:rsidR="00E27519" w:rsidRDefault="0003178C">
      <w:pPr>
        <w:spacing w:before="0"/>
        <w:jc w:val="both"/>
        <w:rPr>
          <w:rFonts w:asciiTheme="minorHAnsi" w:hAnsiTheme="minorHAnsi"/>
          <w:sz w:val="20"/>
        </w:rPr>
      </w:pPr>
      <w:r>
        <w:rPr>
          <w:rFonts w:asciiTheme="minorHAnsi" w:hAnsiTheme="minorHAnsi"/>
          <w:sz w:val="20"/>
        </w:rPr>
        <w:t xml:space="preserve">A livello distrettuale, il tasso di ospedalizzazione più elevato si registra per il distretto di Modena (29,2 x 10.000) mentre quello più contenuto si registra per i residenti nel distretto di Mirandola (16,8 x 10.000). </w:t>
      </w:r>
    </w:p>
    <w:p w14:paraId="10EEB2F6" w14:textId="77777777" w:rsidR="00E27519" w:rsidRDefault="0003178C">
      <w:pPr>
        <w:spacing w:before="0"/>
        <w:jc w:val="both"/>
        <w:rPr>
          <w:rFonts w:asciiTheme="minorHAnsi" w:hAnsiTheme="minorHAnsi"/>
          <w:sz w:val="20"/>
        </w:rPr>
      </w:pPr>
      <w:r>
        <w:rPr>
          <w:rFonts w:asciiTheme="minorHAnsi" w:hAnsiTheme="minorHAnsi"/>
          <w:sz w:val="20"/>
        </w:rPr>
        <w:t>Il tasso di ospedalizzazione per Trattamento Sanitario Obbligatorio degli utenti residenti maggiorenni nel territorio di Modena è stato pari a 22,3 x 100.000 abitanti maggiorenni, inferiore rispetto al dato medio regionale di 25,45 x 100.000.</w:t>
      </w:r>
    </w:p>
    <w:p w14:paraId="30544C74" w14:textId="77777777" w:rsidR="00E27519" w:rsidRDefault="00E27519">
      <w:pPr>
        <w:spacing w:before="0"/>
        <w:jc w:val="both"/>
        <w:rPr>
          <w:rFonts w:asciiTheme="minorHAnsi" w:hAnsiTheme="minorHAnsi"/>
          <w:sz w:val="20"/>
        </w:rPr>
      </w:pPr>
    </w:p>
    <w:p w14:paraId="2D05C3C0" w14:textId="77777777" w:rsidR="00E27519" w:rsidRDefault="00E27519">
      <w:pPr>
        <w:spacing w:before="0"/>
        <w:jc w:val="both"/>
        <w:rPr>
          <w:rFonts w:asciiTheme="minorHAnsi" w:hAnsiTheme="minorHAnsi"/>
          <w:sz w:val="20"/>
        </w:rPr>
      </w:pPr>
    </w:p>
    <w:p w14:paraId="51336CC6" w14:textId="77777777" w:rsidR="00E27519" w:rsidRDefault="0003178C">
      <w:pPr>
        <w:pStyle w:val="Titolo3Verdana"/>
        <w:rPr>
          <w:rFonts w:asciiTheme="minorHAnsi" w:eastAsia="Calibri" w:hAnsiTheme="minorHAnsi"/>
          <w:lang w:val="it-IT"/>
        </w:rPr>
      </w:pPr>
      <w:bookmarkStart w:id="23" w:name="_Toc486415635"/>
      <w:r>
        <w:rPr>
          <w:rFonts w:asciiTheme="minorHAnsi" w:eastAsia="Calibri" w:hAnsiTheme="minorHAnsi"/>
        </w:rPr>
        <w:t xml:space="preserve">2.6 </w:t>
      </w:r>
      <w:r>
        <w:rPr>
          <w:rFonts w:asciiTheme="minorHAnsi" w:eastAsia="Calibri" w:hAnsiTheme="minorHAnsi"/>
          <w:lang w:val="it-IT"/>
        </w:rPr>
        <w:t>Politiche per l’Equità</w:t>
      </w:r>
      <w:bookmarkEnd w:id="23"/>
    </w:p>
    <w:p w14:paraId="3CE0C178" w14:textId="3D6885B0" w:rsidR="00E27519" w:rsidRDefault="0003178C">
      <w:pPr>
        <w:spacing w:before="0"/>
        <w:jc w:val="both"/>
        <w:rPr>
          <w:rFonts w:asciiTheme="minorHAnsi" w:hAnsiTheme="minorHAnsi"/>
          <w:sz w:val="20"/>
        </w:rPr>
      </w:pPr>
      <w:r>
        <w:rPr>
          <w:rFonts w:asciiTheme="minorHAnsi" w:hAnsiTheme="minorHAnsi"/>
          <w:sz w:val="20"/>
        </w:rPr>
        <w:t>È stato costituito il Gruppo Aziendale Equità a supporto della direzione strategica nella promozione di politiche di equità e partecipazione (punto 5 DGR n. 1003/2016).</w:t>
      </w:r>
    </w:p>
    <w:p w14:paraId="156AF4C2" w14:textId="77777777" w:rsidR="00E27519" w:rsidRDefault="0003178C">
      <w:pPr>
        <w:spacing w:before="0"/>
        <w:jc w:val="both"/>
        <w:rPr>
          <w:rFonts w:asciiTheme="minorHAnsi" w:hAnsiTheme="minorHAnsi"/>
          <w:sz w:val="20"/>
        </w:rPr>
      </w:pPr>
      <w:r>
        <w:rPr>
          <w:rFonts w:asciiTheme="minorHAnsi" w:hAnsiTheme="minorHAnsi"/>
          <w:sz w:val="20"/>
        </w:rPr>
        <w:t>Le principali azioni svolte nel 2016 sono state:</w:t>
      </w:r>
    </w:p>
    <w:p w14:paraId="433C79FD" w14:textId="6DDD9317" w:rsidR="00E27519" w:rsidRDefault="0003178C">
      <w:pPr>
        <w:pStyle w:val="Paragrafoelenco2"/>
        <w:numPr>
          <w:ilvl w:val="0"/>
          <w:numId w:val="20"/>
        </w:numPr>
        <w:jc w:val="both"/>
        <w:rPr>
          <w:rFonts w:asciiTheme="minorHAnsi" w:hAnsiTheme="minorHAnsi"/>
        </w:rPr>
      </w:pPr>
      <w:r>
        <w:rPr>
          <w:rFonts w:asciiTheme="minorHAnsi" w:hAnsiTheme="minorHAnsi"/>
        </w:rPr>
        <w:t>Individuazione delle aree prioritarie di intervento, in coerenza con la programmazione regionale;</w:t>
      </w:r>
    </w:p>
    <w:p w14:paraId="0220ABA4" w14:textId="6860D79C" w:rsidR="00E27519" w:rsidRDefault="0003178C">
      <w:pPr>
        <w:pStyle w:val="Paragrafoelenco2"/>
        <w:numPr>
          <w:ilvl w:val="0"/>
          <w:numId w:val="20"/>
        </w:numPr>
        <w:jc w:val="both"/>
        <w:rPr>
          <w:rFonts w:asciiTheme="minorHAnsi" w:hAnsiTheme="minorHAnsi"/>
        </w:rPr>
      </w:pPr>
      <w:r>
        <w:rPr>
          <w:rFonts w:asciiTheme="minorHAnsi" w:hAnsiTheme="minorHAnsi"/>
        </w:rPr>
        <w:t>Definizione degli strumenti di analisi e valutazione dell’equità, nei processi aziendali che coinvolgeranno le varie articolazioni delle macrostrutture, in particolare l’</w:t>
      </w:r>
      <w:proofErr w:type="spellStart"/>
      <w:r>
        <w:rPr>
          <w:rFonts w:asciiTheme="minorHAnsi" w:hAnsiTheme="minorHAnsi"/>
        </w:rPr>
        <w:t>Equality</w:t>
      </w:r>
      <w:proofErr w:type="spellEnd"/>
      <w:r>
        <w:rPr>
          <w:rFonts w:asciiTheme="minorHAnsi" w:hAnsiTheme="minorHAnsi"/>
        </w:rPr>
        <w:t xml:space="preserve"> Impact </w:t>
      </w:r>
      <w:proofErr w:type="spellStart"/>
      <w:r>
        <w:rPr>
          <w:rFonts w:asciiTheme="minorHAnsi" w:hAnsiTheme="minorHAnsi"/>
        </w:rPr>
        <w:t>Assessment</w:t>
      </w:r>
      <w:proofErr w:type="spellEnd"/>
      <w:r>
        <w:rPr>
          <w:rFonts w:asciiTheme="minorHAnsi" w:hAnsiTheme="minorHAnsi"/>
        </w:rPr>
        <w:t xml:space="preserve"> (</w:t>
      </w:r>
      <w:proofErr w:type="spellStart"/>
      <w:r>
        <w:rPr>
          <w:rFonts w:asciiTheme="minorHAnsi" w:hAnsiTheme="minorHAnsi"/>
        </w:rPr>
        <w:t>EquIA</w:t>
      </w:r>
      <w:proofErr w:type="spellEnd"/>
      <w:r>
        <w:rPr>
          <w:rFonts w:asciiTheme="minorHAnsi" w:hAnsiTheme="minorHAnsi"/>
        </w:rPr>
        <w:t>) e l’Health Equity Audit (HEA); Per quanto riguarda l’</w:t>
      </w:r>
      <w:proofErr w:type="spellStart"/>
      <w:r>
        <w:rPr>
          <w:rFonts w:asciiTheme="minorHAnsi" w:hAnsiTheme="minorHAnsi"/>
        </w:rPr>
        <w:t>EquIA</w:t>
      </w:r>
      <w:proofErr w:type="spellEnd"/>
      <w:r>
        <w:rPr>
          <w:rFonts w:asciiTheme="minorHAnsi" w:hAnsiTheme="minorHAnsi"/>
        </w:rPr>
        <w:t xml:space="preserve"> sono stati definiti gli ambiti di indagine all’interno di una serie di progetti del Piano Prevenzione Regionale soprattutto in ambito di attività motoria e sana alimentazione;</w:t>
      </w:r>
    </w:p>
    <w:p w14:paraId="3A65660E" w14:textId="663C580E" w:rsidR="00E27519" w:rsidRDefault="0003178C">
      <w:pPr>
        <w:pStyle w:val="Paragrafoelenco2"/>
        <w:numPr>
          <w:ilvl w:val="0"/>
          <w:numId w:val="20"/>
        </w:numPr>
        <w:jc w:val="both"/>
        <w:rPr>
          <w:rFonts w:asciiTheme="minorHAnsi" w:hAnsiTheme="minorHAnsi"/>
        </w:rPr>
      </w:pPr>
      <w:r>
        <w:rPr>
          <w:rFonts w:asciiTheme="minorHAnsi" w:hAnsiTheme="minorHAnsi"/>
        </w:rPr>
        <w:t>Analisi delle buone pratiche di contrasto alle disuguaglianze sviluppate a livello nazionale ed internazionale;</w:t>
      </w:r>
    </w:p>
    <w:p w14:paraId="5F08F8C2" w14:textId="302788C7" w:rsidR="00E27519" w:rsidRDefault="0003178C">
      <w:pPr>
        <w:pStyle w:val="Paragrafoelenco2"/>
        <w:numPr>
          <w:ilvl w:val="0"/>
          <w:numId w:val="20"/>
        </w:numPr>
        <w:jc w:val="both"/>
        <w:rPr>
          <w:rFonts w:asciiTheme="minorHAnsi" w:hAnsiTheme="minorHAnsi"/>
        </w:rPr>
      </w:pPr>
      <w:r>
        <w:rPr>
          <w:rFonts w:asciiTheme="minorHAnsi" w:hAnsiTheme="minorHAnsi"/>
        </w:rPr>
        <w:t xml:space="preserve">Garanzia dell’integrazione, della </w:t>
      </w:r>
      <w:proofErr w:type="spellStart"/>
      <w:r>
        <w:rPr>
          <w:rFonts w:asciiTheme="minorHAnsi" w:hAnsiTheme="minorHAnsi"/>
        </w:rPr>
        <w:t>inclusivit</w:t>
      </w:r>
      <w:r w:rsidR="00D947E6">
        <w:rPr>
          <w:rFonts w:asciiTheme="minorHAnsi" w:hAnsiTheme="minorHAnsi"/>
        </w:rPr>
        <w:t>à</w:t>
      </w:r>
      <w:proofErr w:type="spellEnd"/>
      <w:r w:rsidR="00D947E6">
        <w:rPr>
          <w:rFonts w:asciiTheme="minorHAnsi" w:hAnsiTheme="minorHAnsi"/>
        </w:rPr>
        <w:t xml:space="preserve"> </w:t>
      </w:r>
      <w:r>
        <w:rPr>
          <w:rFonts w:asciiTheme="minorHAnsi" w:hAnsiTheme="minorHAnsi"/>
        </w:rPr>
        <w:t>e della coerenza delle azioni attivate a livello aziendale sui temi di competenza</w:t>
      </w:r>
    </w:p>
    <w:p w14:paraId="763C1ADE" w14:textId="51A2361A" w:rsidR="00E27519" w:rsidRDefault="0003178C">
      <w:pPr>
        <w:pStyle w:val="Paragrafoelenco2"/>
        <w:numPr>
          <w:ilvl w:val="0"/>
          <w:numId w:val="20"/>
        </w:numPr>
        <w:jc w:val="both"/>
        <w:rPr>
          <w:rFonts w:asciiTheme="minorHAnsi" w:hAnsiTheme="minorHAnsi"/>
        </w:rPr>
      </w:pPr>
      <w:r>
        <w:rPr>
          <w:rFonts w:asciiTheme="minorHAnsi" w:hAnsiTheme="minorHAnsi"/>
        </w:rPr>
        <w:lastRenderedPageBreak/>
        <w:t>Interazione/collaborazione  con gli enti locali per lo sviluppo di progetti integrati;</w:t>
      </w:r>
    </w:p>
    <w:p w14:paraId="7ADFA22B" w14:textId="5702574A" w:rsidR="00E27519" w:rsidRDefault="0003178C">
      <w:pPr>
        <w:pStyle w:val="Paragrafoelenco2"/>
        <w:numPr>
          <w:ilvl w:val="0"/>
          <w:numId w:val="20"/>
        </w:numPr>
        <w:jc w:val="both"/>
        <w:rPr>
          <w:rFonts w:asciiTheme="minorHAnsi" w:hAnsiTheme="minorHAnsi"/>
        </w:rPr>
      </w:pPr>
      <w:r>
        <w:rPr>
          <w:rFonts w:asciiTheme="minorHAnsi" w:hAnsiTheme="minorHAnsi"/>
        </w:rPr>
        <w:t xml:space="preserve">partecipazione ai progetti promossi a livello regionale e di area vasta. </w:t>
      </w:r>
    </w:p>
    <w:p w14:paraId="705D3EA2" w14:textId="77777777" w:rsidR="00E27519" w:rsidRDefault="00E27519">
      <w:pPr>
        <w:spacing w:before="0"/>
        <w:jc w:val="both"/>
        <w:rPr>
          <w:rStyle w:val="Enfasi"/>
          <w:rFonts w:asciiTheme="minorHAnsi" w:hAnsiTheme="minorHAnsi"/>
          <w:sz w:val="18"/>
        </w:rPr>
      </w:pPr>
    </w:p>
    <w:p w14:paraId="4438C629" w14:textId="77777777" w:rsidR="00E27519" w:rsidRDefault="0003178C">
      <w:pPr>
        <w:suppressAutoHyphens w:val="0"/>
        <w:spacing w:before="0"/>
        <w:rPr>
          <w:rFonts w:ascii="Cambria" w:hAnsi="Cambria" w:cs="Cambria"/>
          <w:b/>
          <w:smallCaps/>
          <w:sz w:val="26"/>
        </w:rPr>
      </w:pPr>
      <w:r>
        <w:br w:type="page"/>
      </w:r>
    </w:p>
    <w:p w14:paraId="5116EFBB" w14:textId="77777777" w:rsidR="00E27519" w:rsidRDefault="0003178C">
      <w:pPr>
        <w:pStyle w:val="Titolo2"/>
        <w:numPr>
          <w:ilvl w:val="1"/>
          <w:numId w:val="6"/>
        </w:numPr>
      </w:pPr>
      <w:bookmarkStart w:id="24" w:name="_Toc486415636"/>
      <w:r>
        <w:lastRenderedPageBreak/>
        <w:t>3 Percorsi Clinico Assistenziali</w:t>
      </w:r>
      <w:bookmarkEnd w:id="24"/>
    </w:p>
    <w:p w14:paraId="77F7B4CB" w14:textId="0E0F97E4" w:rsidR="00E27519" w:rsidRDefault="0003178C">
      <w:pPr>
        <w:spacing w:before="80"/>
        <w:jc w:val="both"/>
        <w:rPr>
          <w:sz w:val="20"/>
        </w:rPr>
      </w:pPr>
      <w:r>
        <w:rPr>
          <w:sz w:val="20"/>
        </w:rPr>
        <w:t>I Percorsi Clinico Assistenziali rappresentano una modalit</w:t>
      </w:r>
      <w:r w:rsidR="00D947E6">
        <w:rPr>
          <w:sz w:val="20"/>
        </w:rPr>
        <w:t xml:space="preserve">à </w:t>
      </w:r>
      <w:r>
        <w:rPr>
          <w:sz w:val="20"/>
        </w:rPr>
        <w:t>attraverso cui garantire la continuità delle cure, l’omogeneit</w:t>
      </w:r>
      <w:r w:rsidR="00D947E6">
        <w:rPr>
          <w:sz w:val="20"/>
        </w:rPr>
        <w:t xml:space="preserve">à </w:t>
      </w:r>
      <w:r>
        <w:rPr>
          <w:sz w:val="20"/>
        </w:rPr>
        <w:t xml:space="preserve">degli interventi, la qualità del processo di cura, l'equità orizzontale, la trasparenza dell'offerta di servizio, la personalizzazione dell'intervento nel rispetto delle migliori evidenze disponibili, la </w:t>
      </w:r>
      <w:proofErr w:type="spellStart"/>
      <w:r>
        <w:rPr>
          <w:sz w:val="20"/>
        </w:rPr>
        <w:t>multiprofessionalità</w:t>
      </w:r>
      <w:proofErr w:type="spellEnd"/>
      <w:r>
        <w:rPr>
          <w:sz w:val="20"/>
        </w:rPr>
        <w:t xml:space="preserve"> e multidisciplinarietà degli interventi. </w:t>
      </w:r>
    </w:p>
    <w:p w14:paraId="74DFC41B" w14:textId="0742CF90" w:rsidR="00E27519" w:rsidRDefault="0003178C">
      <w:pPr>
        <w:spacing w:before="80"/>
        <w:jc w:val="both"/>
        <w:rPr>
          <w:sz w:val="20"/>
        </w:rPr>
      </w:pPr>
      <w:r>
        <w:rPr>
          <w:sz w:val="20"/>
        </w:rPr>
        <w:t xml:space="preserve">Dal 2015 alcuni percorsi sono monitorati attraverso un insieme di indicatori, aziendali, regionali e alcuni nazionali; tali percorsi sono  sviluppati </w:t>
      </w:r>
      <w:r w:rsidR="00F60EFA">
        <w:rPr>
          <w:sz w:val="20"/>
        </w:rPr>
        <w:t>p</w:t>
      </w:r>
      <w:r>
        <w:rPr>
          <w:sz w:val="20"/>
        </w:rPr>
        <w:t xml:space="preserve">revalentemente a livello interaziendale, proprio per garantire continuità della presa in carico, sia per pazienti cronici che acuti, anche a partire dalle piattaforme produttive individuate. Sono state migliorate le modalità di rilevazione dei dati di attività e di accesso e sono state estese a tutto il percorso, da implementare  nei prossimi anni. </w:t>
      </w:r>
    </w:p>
    <w:p w14:paraId="2BEFBEE4" w14:textId="20C0587E" w:rsidR="00E27519" w:rsidRDefault="0003178C">
      <w:pPr>
        <w:spacing w:before="0"/>
        <w:jc w:val="both"/>
        <w:rPr>
          <w:sz w:val="20"/>
        </w:rPr>
      </w:pPr>
      <w:r>
        <w:rPr>
          <w:sz w:val="20"/>
        </w:rPr>
        <w:t>Sono stati individuati nel cruscotto direzionale un insieme di primi indicatori specifici per percorso, distinti per fase di presa in carico e sintetizzati nella tabella che segue, che riporta i dati indicazione del grado di raggiungimento del livello di performance (graduato da verde: ottimo a rosso: critico).</w:t>
      </w:r>
    </w:p>
    <w:p w14:paraId="31E5A6E1" w14:textId="77777777" w:rsidR="00E27519" w:rsidRDefault="00E27519">
      <w:pPr>
        <w:suppressAutoHyphens w:val="0"/>
        <w:spacing w:before="0"/>
        <w:ind w:left="284" w:right="284"/>
        <w:jc w:val="both"/>
        <w:rPr>
          <w:rFonts w:cs="Verdana"/>
          <w:b/>
          <w:i/>
          <w:sz w:val="20"/>
          <w:szCs w:val="22"/>
          <w:lang w:eastAsia="it-IT"/>
        </w:rPr>
      </w:pPr>
    </w:p>
    <w:p w14:paraId="523FC953" w14:textId="02E97AA6" w:rsidR="00E27519" w:rsidRPr="00F60EFA" w:rsidRDefault="0003178C">
      <w:pPr>
        <w:pStyle w:val="Titolo3Verdana"/>
        <w:rPr>
          <w:rFonts w:asciiTheme="minorHAnsi" w:eastAsiaTheme="minorEastAsia" w:hAnsiTheme="minorHAnsi"/>
        </w:rPr>
      </w:pPr>
      <w:bookmarkStart w:id="25" w:name="_Toc486415637"/>
      <w:r>
        <w:rPr>
          <w:rFonts w:asciiTheme="minorHAnsi" w:eastAsia="Calibri" w:hAnsiTheme="minorHAnsi"/>
        </w:rPr>
        <w:t>3.1 Monitoraggio PDTA</w:t>
      </w:r>
      <w:bookmarkEnd w:id="25"/>
    </w:p>
    <w:p w14:paraId="741B48D8" w14:textId="426AEBEF" w:rsidR="00E27519" w:rsidRPr="00F60EFA" w:rsidRDefault="00F60EFA">
      <w:pPr>
        <w:suppressAutoHyphens w:val="0"/>
        <w:spacing w:before="0"/>
        <w:ind w:left="284" w:right="284"/>
        <w:jc w:val="both"/>
        <w:rPr>
          <w:sz w:val="20"/>
        </w:rPr>
      </w:pPr>
      <w:r w:rsidRPr="00F60EFA">
        <w:rPr>
          <w:sz w:val="20"/>
        </w:rPr>
        <w:t>Nelle tabelle che seguono sono sintetizzati i risultati degli indicatori calcolati a livello di provincia modenese, includendo quindi i dati di tutti i produttori e non solo dell’Azienda USL (prevalentemente AOU Policlinico e NOS).</w:t>
      </w:r>
    </w:p>
    <w:p w14:paraId="55C6828D" w14:textId="77777777" w:rsidR="00E27519" w:rsidRDefault="0003178C">
      <w:pPr>
        <w:suppressAutoHyphens w:val="0"/>
        <w:spacing w:before="0"/>
        <w:ind w:left="284" w:right="284"/>
        <w:jc w:val="both"/>
        <w:rPr>
          <w:sz w:val="24"/>
        </w:rPr>
      </w:pPr>
      <w:r>
        <w:rPr>
          <w:noProof/>
          <w:sz w:val="24"/>
          <w:lang w:eastAsia="it-IT" w:bidi="ar-SA"/>
        </w:rPr>
        <w:drawing>
          <wp:inline distT="0" distB="0" distL="0" distR="0" wp14:anchorId="7407EA9B" wp14:editId="6EC03AA3">
            <wp:extent cx="6480810" cy="212217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480810" cy="2122690"/>
                    </a:xfrm>
                    <a:prstGeom prst="rect">
                      <a:avLst/>
                    </a:prstGeom>
                    <a:noFill/>
                    <a:ln>
                      <a:noFill/>
                    </a:ln>
                  </pic:spPr>
                </pic:pic>
              </a:graphicData>
            </a:graphic>
          </wp:inline>
        </w:drawing>
      </w:r>
    </w:p>
    <w:p w14:paraId="3B8B2D45" w14:textId="77777777" w:rsidR="00E27519" w:rsidRDefault="00E27519">
      <w:pPr>
        <w:suppressAutoHyphens w:val="0"/>
        <w:spacing w:before="0"/>
        <w:ind w:left="284" w:right="284"/>
        <w:jc w:val="both"/>
        <w:rPr>
          <w:sz w:val="24"/>
        </w:rPr>
      </w:pPr>
    </w:p>
    <w:p w14:paraId="655485EF" w14:textId="77777777" w:rsidR="00E27519" w:rsidRDefault="0003178C">
      <w:pPr>
        <w:suppressAutoHyphens w:val="0"/>
        <w:spacing w:before="0"/>
        <w:ind w:left="284" w:right="284"/>
        <w:jc w:val="center"/>
        <w:rPr>
          <w:sz w:val="24"/>
        </w:rPr>
      </w:pPr>
      <w:r>
        <w:rPr>
          <w:noProof/>
          <w:lang w:eastAsia="it-IT" w:bidi="ar-SA"/>
        </w:rPr>
        <w:lastRenderedPageBreak/>
        <w:drawing>
          <wp:inline distT="0" distB="0" distL="0" distR="0" wp14:anchorId="5F9662A5" wp14:editId="27532F48">
            <wp:extent cx="4765675" cy="371919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765675" cy="3719195"/>
                    </a:xfrm>
                    <a:prstGeom prst="rect">
                      <a:avLst/>
                    </a:prstGeom>
                    <a:noFill/>
                    <a:ln>
                      <a:noFill/>
                    </a:ln>
                  </pic:spPr>
                </pic:pic>
              </a:graphicData>
            </a:graphic>
          </wp:inline>
        </w:drawing>
      </w:r>
    </w:p>
    <w:p w14:paraId="76A301CE" w14:textId="77777777" w:rsidR="00E27519" w:rsidRDefault="00E27519">
      <w:pPr>
        <w:suppressAutoHyphens w:val="0"/>
        <w:spacing w:before="0"/>
        <w:ind w:left="284" w:right="284"/>
        <w:jc w:val="both"/>
        <w:rPr>
          <w:sz w:val="24"/>
        </w:rPr>
      </w:pPr>
    </w:p>
    <w:p w14:paraId="66892FD3" w14:textId="7DDA84C8" w:rsidR="00E27519" w:rsidRDefault="0003178C">
      <w:pPr>
        <w:pStyle w:val="Paragrafoelenco1"/>
        <w:spacing w:before="0"/>
        <w:ind w:left="0"/>
        <w:jc w:val="both"/>
        <w:rPr>
          <w:sz w:val="20"/>
        </w:rPr>
      </w:pPr>
      <w:r>
        <w:rPr>
          <w:sz w:val="20"/>
        </w:rPr>
        <w:t xml:space="preserve">La valutazione interna di questi percorsi mostra un posizionamento complessivo soddisfacente, con percentuali di raggiungimento obiettivi, per gli indicatori utilizzati, prossima al 90%. Tuttavia, il monitoraggio, in alcuni casi, mostra un trend in lieve peggioramento rispetto all’anno precedente. Questa valutazione permette di poter intervenire per tempo nelle criticità emerse, finalizzate ad invertire il segno del cambiamento.  </w:t>
      </w:r>
    </w:p>
    <w:p w14:paraId="37FC9263" w14:textId="77777777" w:rsidR="00E27519" w:rsidRDefault="00E27519">
      <w:pPr>
        <w:suppressAutoHyphens w:val="0"/>
        <w:spacing w:before="0"/>
        <w:ind w:left="284" w:right="284"/>
        <w:jc w:val="both"/>
        <w:rPr>
          <w:sz w:val="24"/>
        </w:rPr>
      </w:pPr>
    </w:p>
    <w:p w14:paraId="6F88A68B" w14:textId="77777777" w:rsidR="00E27519" w:rsidRDefault="0003178C">
      <w:pPr>
        <w:pStyle w:val="Titolo2"/>
        <w:numPr>
          <w:ilvl w:val="1"/>
          <w:numId w:val="6"/>
        </w:numPr>
      </w:pPr>
      <w:bookmarkStart w:id="26" w:name="_Toc486415638"/>
      <w:r>
        <w:t>4 Politiche per la valorizzazione professionale</w:t>
      </w:r>
      <w:bookmarkEnd w:id="26"/>
      <w:r>
        <w:t xml:space="preserve"> </w:t>
      </w:r>
    </w:p>
    <w:p w14:paraId="686A26BE" w14:textId="77777777" w:rsidR="00E27519" w:rsidRDefault="0003178C">
      <w:pPr>
        <w:pStyle w:val="Paragrafoelenco1"/>
        <w:spacing w:before="0"/>
        <w:ind w:left="0"/>
        <w:jc w:val="both"/>
        <w:rPr>
          <w:sz w:val="20"/>
        </w:rPr>
      </w:pPr>
      <w:r>
        <w:rPr>
          <w:sz w:val="20"/>
        </w:rPr>
        <w:t xml:space="preserve">L’area delle Politiche per la valorizzazione professionale comprende tutte le politiche che favoriscono lo sviluppo del capitale umano dei professionisti, a partire dal monitoraggio delle competenze e dallo sviluppo delle capacità professionali, inclusa la collaborazione con i colleghi, la relazione e l’ascolto, l’orientamento al raggiungimento degli obiettivi e include gli strumenti di valutazione della performance individuali e/o di gruppo. La direzione dell’Azienda USL di Modena è impegnata nel mettere in atto azioni finalizzate alla costruzione di competenze evolute, di possibili percorsi di carriera, nel rispetto dei principi dell'integrità e della trasparenza degli atti. </w:t>
      </w:r>
    </w:p>
    <w:p w14:paraId="4B5D37CA" w14:textId="77777777" w:rsidR="00E27519" w:rsidRDefault="0003178C">
      <w:pPr>
        <w:spacing w:before="0"/>
        <w:jc w:val="both"/>
        <w:rPr>
          <w:rFonts w:eastAsia="Calibri"/>
          <w:sz w:val="20"/>
          <w:lang w:eastAsia="en-US"/>
        </w:rPr>
      </w:pPr>
      <w:r>
        <w:rPr>
          <w:rFonts w:eastAsia="Calibri"/>
          <w:sz w:val="20"/>
          <w:lang w:eastAsia="en-US"/>
        </w:rPr>
        <w:t>La gestione delle risorse umane in Azienda USL di Modena, nel 2016, è stata condizionata da alcuni progetti di rilevanza significativa:</w:t>
      </w:r>
    </w:p>
    <w:p w14:paraId="52322862" w14:textId="14BAF0D0" w:rsidR="00E27519" w:rsidRDefault="0003178C">
      <w:pPr>
        <w:pStyle w:val="Paragrafoelenco2"/>
        <w:numPr>
          <w:ilvl w:val="0"/>
          <w:numId w:val="21"/>
        </w:numPr>
        <w:jc w:val="both"/>
        <w:rPr>
          <w:rFonts w:asciiTheme="minorHAnsi" w:hAnsiTheme="minorHAnsi"/>
        </w:rPr>
      </w:pPr>
      <w:r>
        <w:rPr>
          <w:rFonts w:asciiTheme="minorHAnsi" w:hAnsiTheme="minorHAnsi"/>
        </w:rPr>
        <w:t>La sperimentazione della gestione unica da parte dell'AOU di NOCSAE</w:t>
      </w:r>
      <w:r w:rsidR="00F60EFA">
        <w:rPr>
          <w:rFonts w:asciiTheme="minorHAnsi" w:hAnsiTheme="minorHAnsi"/>
        </w:rPr>
        <w:t xml:space="preserve"> </w:t>
      </w:r>
      <w:r>
        <w:rPr>
          <w:rFonts w:asciiTheme="minorHAnsi" w:hAnsiTheme="minorHAnsi"/>
        </w:rPr>
        <w:t>e POLICLINICO  (ai sensi della DGR 1004/2016) a far data dal 1/1/2017;</w:t>
      </w:r>
    </w:p>
    <w:p w14:paraId="694415EF" w14:textId="09727202" w:rsidR="00E27519" w:rsidRDefault="0003178C">
      <w:pPr>
        <w:pStyle w:val="Paragrafoelenco2"/>
        <w:numPr>
          <w:ilvl w:val="0"/>
          <w:numId w:val="21"/>
        </w:numPr>
        <w:jc w:val="both"/>
        <w:rPr>
          <w:rFonts w:asciiTheme="minorHAnsi" w:hAnsiTheme="minorHAnsi"/>
        </w:rPr>
      </w:pPr>
      <w:r>
        <w:rPr>
          <w:rFonts w:asciiTheme="minorHAnsi" w:hAnsiTheme="minorHAnsi"/>
        </w:rPr>
        <w:t xml:space="preserve">La creazione dei servizi unificati ed unici </w:t>
      </w:r>
      <w:r w:rsidR="00F60EFA">
        <w:rPr>
          <w:rFonts w:asciiTheme="minorHAnsi" w:hAnsiTheme="minorHAnsi"/>
        </w:rPr>
        <w:t>t</w:t>
      </w:r>
      <w:r>
        <w:rPr>
          <w:rFonts w:asciiTheme="minorHAnsi" w:hAnsiTheme="minorHAnsi"/>
        </w:rPr>
        <w:t>ra AUSL e  AOU: il Servizio Tecnico, la Fisica Medica, l’Amministrazione del Personale, gli Acquisti e Logistica</w:t>
      </w:r>
      <w:r w:rsidR="00F60EFA">
        <w:rPr>
          <w:rFonts w:asciiTheme="minorHAnsi" w:hAnsiTheme="minorHAnsi"/>
        </w:rPr>
        <w:t>,</w:t>
      </w:r>
      <w:r>
        <w:rPr>
          <w:rFonts w:asciiTheme="minorHAnsi" w:hAnsiTheme="minorHAnsi"/>
        </w:rPr>
        <w:t xml:space="preserve"> </w:t>
      </w:r>
      <w:r w:rsidR="00F60EFA">
        <w:rPr>
          <w:rFonts w:asciiTheme="minorHAnsi" w:hAnsiTheme="minorHAnsi"/>
        </w:rPr>
        <w:t xml:space="preserve">l’Ingegneria Clinica </w:t>
      </w:r>
      <w:r>
        <w:rPr>
          <w:rFonts w:asciiTheme="minorHAnsi" w:hAnsiTheme="minorHAnsi"/>
        </w:rPr>
        <w:t>(Del. 168 del 05/09/2016: "Istituzione di Servizi Unici per le Funzioni Amministrative, Tecniche e Professionali tra l’Azienda USL di Modena e l’Azienda Ospedaliero-Universitaria Policlinico di Modena"),</w:t>
      </w:r>
    </w:p>
    <w:p w14:paraId="740A65F6" w14:textId="77777777" w:rsidR="00E27519" w:rsidRDefault="0003178C">
      <w:pPr>
        <w:jc w:val="both"/>
        <w:rPr>
          <w:rFonts w:eastAsia="Calibri"/>
          <w:sz w:val="20"/>
          <w:lang w:eastAsia="en-US"/>
        </w:rPr>
      </w:pPr>
      <w:r>
        <w:rPr>
          <w:rFonts w:eastAsia="Calibri"/>
          <w:sz w:val="20"/>
          <w:lang w:eastAsia="en-US"/>
        </w:rPr>
        <w:t xml:space="preserve">Per quanto riguarda il primo progetto, la Direzione Aziendale ha prodotto: </w:t>
      </w:r>
    </w:p>
    <w:p w14:paraId="4DF67D09" w14:textId="77777777" w:rsidR="00E27519" w:rsidRDefault="0003178C">
      <w:pPr>
        <w:pStyle w:val="Paragrafoelenco2"/>
        <w:numPr>
          <w:ilvl w:val="0"/>
          <w:numId w:val="22"/>
        </w:numPr>
        <w:jc w:val="both"/>
        <w:rPr>
          <w:rFonts w:asciiTheme="minorHAnsi" w:hAnsiTheme="minorHAnsi"/>
        </w:rPr>
      </w:pPr>
      <w:r>
        <w:rPr>
          <w:rFonts w:asciiTheme="minorHAnsi" w:hAnsiTheme="minorHAnsi"/>
        </w:rPr>
        <w:lastRenderedPageBreak/>
        <w:t xml:space="preserve">La progettazione dell'Accordo Quadro e delle convenzioni relative ai singoli servizi/aree di attività che pattuissero le condizioni di assegnazione/trasferimento degli </w:t>
      </w:r>
      <w:proofErr w:type="spellStart"/>
      <w:r>
        <w:rPr>
          <w:rFonts w:asciiTheme="minorHAnsi" w:hAnsiTheme="minorHAnsi"/>
        </w:rPr>
        <w:t>asset</w:t>
      </w:r>
      <w:proofErr w:type="spellEnd"/>
      <w:r>
        <w:rPr>
          <w:rFonts w:asciiTheme="minorHAnsi" w:hAnsiTheme="minorHAnsi"/>
        </w:rPr>
        <w:t xml:space="preserve"> ad AOU (delibera 193 del 14/10/2016 "Accordo Quadro e Convenzione Generale tra l’Azienda </w:t>
      </w:r>
      <w:proofErr w:type="spellStart"/>
      <w:r>
        <w:rPr>
          <w:rFonts w:asciiTheme="minorHAnsi" w:hAnsiTheme="minorHAnsi"/>
        </w:rPr>
        <w:t>Usl</w:t>
      </w:r>
      <w:proofErr w:type="spellEnd"/>
      <w:r>
        <w:rPr>
          <w:rFonts w:asciiTheme="minorHAnsi" w:hAnsiTheme="minorHAnsi"/>
        </w:rPr>
        <w:t xml:space="preserve"> di Modena e l’Azienda Ospedaliero-Universitaria Policlinico di Modena per la gestione unica tra il Nuovo Ospedale Civile </w:t>
      </w:r>
      <w:proofErr w:type="spellStart"/>
      <w:r>
        <w:rPr>
          <w:rFonts w:asciiTheme="minorHAnsi" w:hAnsiTheme="minorHAnsi"/>
        </w:rPr>
        <w:t>S.Agostino</w:t>
      </w:r>
      <w:proofErr w:type="spellEnd"/>
      <w:r>
        <w:rPr>
          <w:rFonts w:asciiTheme="minorHAnsi" w:hAnsiTheme="minorHAnsi"/>
        </w:rPr>
        <w:t xml:space="preserve"> Estense (N.O.C.S.A.E) e il Policlinico – Recepimento"); </w:t>
      </w:r>
    </w:p>
    <w:p w14:paraId="0427A70D" w14:textId="77777777" w:rsidR="00E27519" w:rsidRDefault="0003178C">
      <w:pPr>
        <w:pStyle w:val="Paragrafoelenco2"/>
        <w:numPr>
          <w:ilvl w:val="0"/>
          <w:numId w:val="22"/>
        </w:numPr>
        <w:jc w:val="both"/>
        <w:rPr>
          <w:rFonts w:asciiTheme="minorHAnsi" w:hAnsiTheme="minorHAnsi"/>
        </w:rPr>
      </w:pPr>
      <w:r>
        <w:rPr>
          <w:rFonts w:asciiTheme="minorHAnsi" w:hAnsiTheme="minorHAnsi"/>
        </w:rPr>
        <w:t xml:space="preserve">La Delibera 306 del 30/12/2016 "Gestione unica tra Nuovo Ospedale Civile Sant’Agostino Estense (NOCSAE) e Policlinico di Modena. Ricognizione e trasferimento della titolarità dei contratti per la fornitura di beni e servizi e per la vendita di prestazioni sanitarie dall’Azienda </w:t>
      </w:r>
      <w:proofErr w:type="spellStart"/>
      <w:r>
        <w:rPr>
          <w:rFonts w:asciiTheme="minorHAnsi" w:hAnsiTheme="minorHAnsi"/>
        </w:rPr>
        <w:t>Usl</w:t>
      </w:r>
      <w:proofErr w:type="spellEnd"/>
      <w:r>
        <w:rPr>
          <w:rFonts w:asciiTheme="minorHAnsi" w:hAnsiTheme="minorHAnsi"/>
        </w:rPr>
        <w:t xml:space="preserve"> di Modena all’Azienda Ospedaliero Universitaria di Modena. "</w:t>
      </w:r>
    </w:p>
    <w:p w14:paraId="00405CF7" w14:textId="77777777" w:rsidR="00E27519" w:rsidRDefault="0003178C">
      <w:pPr>
        <w:pStyle w:val="Paragrafoelenco2"/>
        <w:numPr>
          <w:ilvl w:val="0"/>
          <w:numId w:val="22"/>
        </w:numPr>
        <w:jc w:val="both"/>
        <w:rPr>
          <w:rFonts w:asciiTheme="minorHAnsi" w:hAnsiTheme="minorHAnsi"/>
        </w:rPr>
      </w:pPr>
      <w:r>
        <w:rPr>
          <w:rFonts w:asciiTheme="minorHAnsi" w:hAnsiTheme="minorHAnsi"/>
        </w:rPr>
        <w:t xml:space="preserve">La Delibera 307 del 30/12/2016 "Gestione unica tra Nuovo Ospedale Civile Sant’Agostino Estense (NOCSAE) e Policlinico di Modena. Approvazione protocolli operativi di cui alla Convenzione generale tra l’Azienda USL di Modena e l’Azienda Ospedaliero Universitaria di Modena di avvio della sperimentazione gestionale." </w:t>
      </w:r>
    </w:p>
    <w:p w14:paraId="403B2EE5" w14:textId="77777777" w:rsidR="00E27519" w:rsidRDefault="0003178C">
      <w:pPr>
        <w:pStyle w:val="Paragrafoelenco2"/>
        <w:numPr>
          <w:ilvl w:val="0"/>
          <w:numId w:val="22"/>
        </w:numPr>
        <w:jc w:val="both"/>
        <w:rPr>
          <w:rFonts w:asciiTheme="minorHAnsi" w:hAnsiTheme="minorHAnsi"/>
        </w:rPr>
      </w:pPr>
      <w:r>
        <w:rPr>
          <w:rFonts w:asciiTheme="minorHAnsi" w:hAnsiTheme="minorHAnsi"/>
        </w:rPr>
        <w:t xml:space="preserve">La definizione del personale e delle unità organizzative oggetto dell'assegnazione temporanea all'AOU dal 1/1/2017 (Delibera 308/2016 "Assegnazione temporanea all’Azienda Ospedaliero-Universitaria di Modena del personale dell’Azienda USL assegnato al NOCSAE di Baggiovara ai sensi della DGR n. 1004 del 28.06.2016"  e Delibera 5/2017 "Gestione unica tra Nuovo Ospedale Civile Sant’Agostino Estense (NOCSAE) e Policlinico di Modena. Ricognizione delle Strutture oggetto di gestione unica e conseguenti modifiche al Manuale Organizzativo dell’Azienda </w:t>
      </w:r>
      <w:proofErr w:type="spellStart"/>
      <w:r>
        <w:rPr>
          <w:rFonts w:asciiTheme="minorHAnsi" w:hAnsiTheme="minorHAnsi"/>
        </w:rPr>
        <w:t>Usl</w:t>
      </w:r>
      <w:proofErr w:type="spellEnd"/>
      <w:r>
        <w:rPr>
          <w:rFonts w:asciiTheme="minorHAnsi" w:hAnsiTheme="minorHAnsi"/>
        </w:rPr>
        <w:t xml:space="preserve"> di Modena).</w:t>
      </w:r>
    </w:p>
    <w:p w14:paraId="3982E5C1" w14:textId="77777777" w:rsidR="00E27519" w:rsidRDefault="0003178C">
      <w:pPr>
        <w:jc w:val="both"/>
        <w:rPr>
          <w:rFonts w:eastAsia="Calibri"/>
          <w:sz w:val="20"/>
          <w:lang w:eastAsia="en-US"/>
        </w:rPr>
      </w:pPr>
      <w:r>
        <w:rPr>
          <w:rFonts w:eastAsia="Calibri"/>
          <w:sz w:val="20"/>
          <w:lang w:eastAsia="en-US"/>
        </w:rPr>
        <w:t xml:space="preserve">Per quanto riguarda il secondo progetto, la Direzione Aziendale ha: </w:t>
      </w:r>
    </w:p>
    <w:p w14:paraId="6DB4E7D0" w14:textId="77777777" w:rsidR="00E27519" w:rsidRDefault="0003178C">
      <w:pPr>
        <w:pStyle w:val="Paragrafoelenco2"/>
        <w:numPr>
          <w:ilvl w:val="0"/>
          <w:numId w:val="22"/>
        </w:numPr>
        <w:jc w:val="both"/>
        <w:rPr>
          <w:rFonts w:asciiTheme="minorHAnsi" w:hAnsiTheme="minorHAnsi"/>
        </w:rPr>
      </w:pPr>
      <w:r>
        <w:rPr>
          <w:rFonts w:asciiTheme="minorHAnsi" w:hAnsiTheme="minorHAnsi"/>
        </w:rPr>
        <w:t xml:space="preserve">Definito il processo di condivisione dell'iter di unificazione dei servizi con l'AOU in 3 </w:t>
      </w:r>
      <w:proofErr w:type="spellStart"/>
      <w:r>
        <w:rPr>
          <w:rFonts w:asciiTheme="minorHAnsi" w:hAnsiTheme="minorHAnsi"/>
        </w:rPr>
        <w:t>step</w:t>
      </w:r>
      <w:proofErr w:type="spellEnd"/>
      <w:r>
        <w:rPr>
          <w:rFonts w:asciiTheme="minorHAnsi" w:hAnsiTheme="minorHAnsi"/>
        </w:rPr>
        <w:t>: a) Accordo quadro; b) Delibera di unificazione; c) Convenzioni e progetti specifici.</w:t>
      </w:r>
    </w:p>
    <w:p w14:paraId="502E1A70" w14:textId="77777777" w:rsidR="00E27519" w:rsidRDefault="0003178C">
      <w:pPr>
        <w:pStyle w:val="Paragrafoelenco2"/>
        <w:numPr>
          <w:ilvl w:val="0"/>
          <w:numId w:val="22"/>
        </w:numPr>
        <w:jc w:val="both"/>
        <w:rPr>
          <w:rFonts w:asciiTheme="minorHAnsi" w:hAnsiTheme="minorHAnsi"/>
        </w:rPr>
      </w:pPr>
      <w:r>
        <w:rPr>
          <w:rFonts w:asciiTheme="minorHAnsi" w:hAnsiTheme="minorHAnsi"/>
        </w:rPr>
        <w:t>Confermato l'unificazione del Servizio Unico Amministrazione del Personale che è stato dotato, ad aprile 2016, di una sede unica c/o la sede direzionale AUSL.</w:t>
      </w:r>
    </w:p>
    <w:p w14:paraId="13B9088B" w14:textId="77777777" w:rsidR="00E27519" w:rsidRDefault="0003178C">
      <w:pPr>
        <w:pStyle w:val="Paragrafoelenco2"/>
        <w:numPr>
          <w:ilvl w:val="0"/>
          <w:numId w:val="22"/>
        </w:numPr>
        <w:jc w:val="both"/>
        <w:rPr>
          <w:rFonts w:asciiTheme="minorHAnsi" w:hAnsiTheme="minorHAnsi"/>
        </w:rPr>
      </w:pPr>
      <w:r>
        <w:rPr>
          <w:rFonts w:asciiTheme="minorHAnsi" w:hAnsiTheme="minorHAnsi"/>
        </w:rPr>
        <w:t>Effettuato l’unificazione dei servizi (Delibera 168/2016): Servizio Unico Attività Tecniche; Servizio Unico Fisica Medica; Servizio Unico Ingegneria Clinica; Servizio Unico Acquisiti e Logistica.</w:t>
      </w:r>
    </w:p>
    <w:p w14:paraId="3C896568" w14:textId="77777777" w:rsidR="00E27519" w:rsidRDefault="00E27519">
      <w:pPr>
        <w:spacing w:before="0"/>
        <w:jc w:val="both"/>
        <w:rPr>
          <w:rFonts w:eastAsia="Calibri"/>
          <w:sz w:val="20"/>
          <w:lang w:eastAsia="en-US"/>
        </w:rPr>
      </w:pPr>
    </w:p>
    <w:p w14:paraId="7E04275C" w14:textId="0474D6F4" w:rsidR="00E27519" w:rsidRDefault="0003178C">
      <w:pPr>
        <w:spacing w:before="0"/>
        <w:jc w:val="both"/>
        <w:rPr>
          <w:rFonts w:eastAsia="Calibri"/>
          <w:sz w:val="20"/>
          <w:lang w:eastAsia="en-US"/>
        </w:rPr>
      </w:pPr>
      <w:r>
        <w:rPr>
          <w:rFonts w:eastAsia="Calibri"/>
          <w:sz w:val="20"/>
          <w:lang w:eastAsia="en-US"/>
        </w:rPr>
        <w:t xml:space="preserve">Nel corso del 2016, sono state effettuate tutte le 53 stabilizzazioni autorizzate dalla Regione </w:t>
      </w:r>
      <w:r w:rsidR="006F0952">
        <w:rPr>
          <w:rFonts w:eastAsia="Calibri"/>
          <w:sz w:val="20"/>
          <w:lang w:eastAsia="en-US"/>
        </w:rPr>
        <w:t xml:space="preserve">all’Azienda USL </w:t>
      </w:r>
      <w:r>
        <w:rPr>
          <w:rFonts w:eastAsia="Calibri"/>
          <w:sz w:val="20"/>
          <w:lang w:eastAsia="en-US"/>
        </w:rPr>
        <w:t xml:space="preserve">entro il </w:t>
      </w:r>
      <w:r w:rsidRPr="006F0952">
        <w:rPr>
          <w:rFonts w:eastAsia="Calibri"/>
          <w:sz w:val="20"/>
          <w:lang w:eastAsia="en-US"/>
        </w:rPr>
        <w:t>2016 e ha</w:t>
      </w:r>
      <w:r>
        <w:rPr>
          <w:rFonts w:eastAsia="Calibri"/>
          <w:sz w:val="20"/>
          <w:lang w:eastAsia="en-US"/>
        </w:rPr>
        <w:t xml:space="preserve"> registrato comunque un risparmio di €1.697.610 </w:t>
      </w:r>
      <w:r w:rsidR="00D34782">
        <w:rPr>
          <w:rFonts w:eastAsia="Calibri"/>
          <w:sz w:val="20"/>
          <w:lang w:eastAsia="en-US"/>
        </w:rPr>
        <w:t>sul</w:t>
      </w:r>
      <w:r>
        <w:rPr>
          <w:rFonts w:eastAsia="Calibri"/>
          <w:sz w:val="20"/>
          <w:lang w:eastAsia="en-US"/>
        </w:rPr>
        <w:t xml:space="preserve"> costo del personale dipendente</w:t>
      </w:r>
      <w:r w:rsidR="00D34782">
        <w:rPr>
          <w:rFonts w:eastAsia="Calibri"/>
          <w:sz w:val="20"/>
          <w:lang w:eastAsia="en-US"/>
        </w:rPr>
        <w:t>,</w:t>
      </w:r>
      <w:r>
        <w:rPr>
          <w:rFonts w:eastAsia="Calibri"/>
          <w:sz w:val="20"/>
          <w:lang w:eastAsia="en-US"/>
        </w:rPr>
        <w:t xml:space="preserve"> nel 2016 pari a €283.250.291, rispetto alla voce del riportata nel Bilancio</w:t>
      </w:r>
      <w:r w:rsidR="00D34782">
        <w:rPr>
          <w:rFonts w:eastAsia="Calibri"/>
          <w:sz w:val="20"/>
          <w:lang w:eastAsia="en-US"/>
        </w:rPr>
        <w:t xml:space="preserve"> 2015, pari a €284.947.901.</w:t>
      </w:r>
      <w:r>
        <w:rPr>
          <w:rFonts w:eastAsia="Calibri"/>
          <w:sz w:val="20"/>
          <w:lang w:eastAsia="en-US"/>
        </w:rPr>
        <w:t xml:space="preserve"> </w:t>
      </w:r>
    </w:p>
    <w:p w14:paraId="059F48F6" w14:textId="6D8228C6" w:rsidR="00E27519" w:rsidRDefault="0003178C">
      <w:pPr>
        <w:pStyle w:val="Paragrafoelenco1"/>
        <w:spacing w:before="0"/>
        <w:ind w:left="0"/>
        <w:jc w:val="both"/>
        <w:rPr>
          <w:sz w:val="20"/>
        </w:rPr>
      </w:pPr>
      <w:r>
        <w:rPr>
          <w:sz w:val="20"/>
        </w:rPr>
        <w:t>Il Piano Formativo Aziendale 2016, composto da 863 eventi formativi interni, si è concluso c</w:t>
      </w:r>
      <w:r w:rsidR="00D34782">
        <w:rPr>
          <w:sz w:val="20"/>
        </w:rPr>
        <w:t>on la realizzazione di 755 corsi (-1</w:t>
      </w:r>
      <w:r>
        <w:rPr>
          <w:sz w:val="20"/>
        </w:rPr>
        <w:t>2%) per complessive 1.600 edizioni che hanno erogato 21.300 ore con 28.800 partecipazioni, per il 78% dipendenti e convenzionati e con 6.300 partecipanti esterni all’AUSL. Alcuni indicatori mostrano una lieve contrazione dell’attività nel 2016 rispetto al 2015: corsi ed edizioni svolte (-2% e -10%), partecipazioni (-9%), ore erogate (-6%).  Tali dati sono in corso di valutazione stante il ruolo strumentale e non finalistico della formazione svolto in Azienda e la necessit</w:t>
      </w:r>
      <w:r w:rsidR="00D947E6">
        <w:rPr>
          <w:sz w:val="20"/>
        </w:rPr>
        <w:t xml:space="preserve">à </w:t>
      </w:r>
      <w:r>
        <w:rPr>
          <w:sz w:val="20"/>
        </w:rPr>
        <w:t xml:space="preserve">di rendere efficiente, efficace e sostenibile </w:t>
      </w:r>
      <w:r w:rsidR="00CA334E">
        <w:rPr>
          <w:sz w:val="20"/>
        </w:rPr>
        <w:t>un’</w:t>
      </w:r>
      <w:r>
        <w:rPr>
          <w:sz w:val="20"/>
        </w:rPr>
        <w:t>attivit</w:t>
      </w:r>
      <w:r w:rsidR="00D947E6">
        <w:rPr>
          <w:sz w:val="20"/>
        </w:rPr>
        <w:t xml:space="preserve">à </w:t>
      </w:r>
      <w:r>
        <w:rPr>
          <w:sz w:val="20"/>
        </w:rPr>
        <w:t>che, essendo s</w:t>
      </w:r>
      <w:r w:rsidR="00CA334E">
        <w:rPr>
          <w:sz w:val="20"/>
        </w:rPr>
        <w:t>v</w:t>
      </w:r>
      <w:r>
        <w:rPr>
          <w:sz w:val="20"/>
        </w:rPr>
        <w:t xml:space="preserve">olta in larghissima parte in </w:t>
      </w:r>
      <w:proofErr w:type="spellStart"/>
      <w:r>
        <w:rPr>
          <w:sz w:val="20"/>
        </w:rPr>
        <w:t>insourcing</w:t>
      </w:r>
      <w:proofErr w:type="spellEnd"/>
      <w:r>
        <w:rPr>
          <w:sz w:val="20"/>
        </w:rPr>
        <w:t>, deve essere massimamente rispondente alle finalit</w:t>
      </w:r>
      <w:r w:rsidR="00D947E6">
        <w:rPr>
          <w:sz w:val="20"/>
        </w:rPr>
        <w:t xml:space="preserve">à </w:t>
      </w:r>
      <w:r w:rsidR="00CA334E">
        <w:rPr>
          <w:sz w:val="20"/>
        </w:rPr>
        <w:t>core dell’Azienda.</w:t>
      </w:r>
      <w:r>
        <w:rPr>
          <w:sz w:val="20"/>
        </w:rPr>
        <w:t xml:space="preserve"> </w:t>
      </w:r>
    </w:p>
    <w:p w14:paraId="104FFCF9" w14:textId="069C01DC" w:rsidR="00E27519" w:rsidRDefault="0003178C">
      <w:pPr>
        <w:pStyle w:val="Paragrafoelenco1"/>
        <w:spacing w:before="0"/>
        <w:ind w:left="0"/>
        <w:jc w:val="both"/>
        <w:rPr>
          <w:sz w:val="20"/>
        </w:rPr>
      </w:pPr>
      <w:r>
        <w:rPr>
          <w:sz w:val="20"/>
        </w:rPr>
        <w:t xml:space="preserve">Nel corso del 2016 sono state anche introdotte alcune modifiche ai sistemi di valutazione e di incentivazione dei dipendenti con qualifica dirigenziale, a seguito di accordo con le OO.SS., in merito alla incentivazione </w:t>
      </w:r>
      <w:r w:rsidR="00D34782">
        <w:rPr>
          <w:sz w:val="20"/>
        </w:rPr>
        <w:t xml:space="preserve">economica </w:t>
      </w:r>
      <w:r>
        <w:rPr>
          <w:sz w:val="20"/>
        </w:rPr>
        <w:t xml:space="preserve">del risultato. Obiettivo di questo cambiamento è stato formalizzare la condivisione degli obiettivi aziendali e il loro grado di raggiungimento che è naturalmente uno sforzo comune a tutto il personale. </w:t>
      </w:r>
    </w:p>
    <w:p w14:paraId="67A89374" w14:textId="1A9FFC3A" w:rsidR="00E27519" w:rsidRDefault="0003178C">
      <w:pPr>
        <w:pStyle w:val="Paragrafoelenco1"/>
        <w:spacing w:before="0"/>
        <w:ind w:left="0"/>
        <w:jc w:val="both"/>
        <w:rPr>
          <w:sz w:val="20"/>
        </w:rPr>
      </w:pPr>
      <w:r>
        <w:rPr>
          <w:sz w:val="20"/>
        </w:rPr>
        <w:t>Il sistema di calcolo dell’incentivo varia storicamente a seconda del ruolo di appartenenza di ciascun dirigente, Medico e Veterinario, o Sanitario Professionale e Tecnico. Per i Dirigenti responsabili di struttura complessa o semplice dipartimentale è stata aggiunta anche la dimensione della collocazione organizzativa, quindi o in “produzione</w:t>
      </w:r>
      <w:r w:rsidR="00D34782">
        <w:rPr>
          <w:sz w:val="20"/>
        </w:rPr>
        <w:t>”</w:t>
      </w:r>
      <w:r>
        <w:rPr>
          <w:sz w:val="20"/>
        </w:rPr>
        <w:t xml:space="preserve"> (Dipartimenti ospedalieri o territoriali) o in staff. Nel primo caso, la quota dell’incentivo è collegata, per l’85%, ai risultati realizzati in raggiungimento degli obiettivi di budget assegnati al proprio Dipartimento, e per il 15% al grado di raggiungimento degli obiettivi aziendali, misurato annualmente dalla RER come valutazione degli obiettivi assegnati alla Direzione Generale. Per i dirigenti responsabili di struttura di staff, si conferma la quota del 15% collegata al grado di raggiungimento degli obiettivi aziendali, mentre la quota collegata ai propri obiettivi cala al 70%, ed è previsto, per il restante 15% il collegamento alla quota media di </w:t>
      </w:r>
      <w:r>
        <w:rPr>
          <w:sz w:val="20"/>
        </w:rPr>
        <w:lastRenderedPageBreak/>
        <w:t xml:space="preserve">raggiungimento del budget delle strutture </w:t>
      </w:r>
      <w:r w:rsidR="00D34782">
        <w:rPr>
          <w:sz w:val="20"/>
        </w:rPr>
        <w:t xml:space="preserve">aziendali di produzione. Questa modalità </w:t>
      </w:r>
      <w:r>
        <w:rPr>
          <w:sz w:val="20"/>
        </w:rPr>
        <w:t xml:space="preserve">evidenzia il ruolo di servizio delle strutture di staff che debbono mettere in grado quelle di produzione di raggiungere i propri obiettivi. </w:t>
      </w:r>
    </w:p>
    <w:p w14:paraId="492DAF6B" w14:textId="77777777" w:rsidR="00E27519" w:rsidRDefault="00E27519">
      <w:pPr>
        <w:spacing w:before="0"/>
        <w:jc w:val="both"/>
        <w:rPr>
          <w:rFonts w:eastAsia="Calibri"/>
          <w:sz w:val="20"/>
          <w:highlight w:val="green"/>
          <w:lang w:eastAsia="en-US"/>
        </w:rPr>
      </w:pPr>
    </w:p>
    <w:p w14:paraId="78AF7362" w14:textId="77777777" w:rsidR="00E27519" w:rsidRDefault="0003178C">
      <w:pPr>
        <w:pStyle w:val="Titolo2"/>
        <w:numPr>
          <w:ilvl w:val="1"/>
          <w:numId w:val="6"/>
        </w:numPr>
      </w:pPr>
      <w:bookmarkStart w:id="27" w:name="_Ref486263221"/>
      <w:bookmarkStart w:id="28" w:name="_Ref486263226"/>
      <w:bookmarkStart w:id="29" w:name="_Ref486263234"/>
      <w:bookmarkStart w:id="30" w:name="_Ref486263245"/>
      <w:bookmarkStart w:id="31" w:name="_Toc486415639"/>
      <w:r>
        <w:t>5 Performance management per la creazione di valore</w:t>
      </w:r>
      <w:bookmarkEnd w:id="27"/>
      <w:bookmarkEnd w:id="28"/>
      <w:bookmarkEnd w:id="29"/>
      <w:bookmarkEnd w:id="30"/>
      <w:bookmarkEnd w:id="31"/>
    </w:p>
    <w:p w14:paraId="7DEA7CCB" w14:textId="57D99134" w:rsidR="00E27519" w:rsidRDefault="0003178C">
      <w:pPr>
        <w:pStyle w:val="Paragrafoelenco1"/>
        <w:ind w:left="0"/>
        <w:jc w:val="both"/>
      </w:pPr>
      <w:r>
        <w:rPr>
          <w:sz w:val="20"/>
        </w:rPr>
        <w:t>Le attività intraprese dall’Azienda USL di Modena per quanto riguarda l’area del performance management riguardano lo sviluppo di strumenti in grado di indirizzare l’azienda verso il raggiungimento di risultati “</w:t>
      </w:r>
      <w:proofErr w:type="spellStart"/>
      <w:r>
        <w:rPr>
          <w:sz w:val="20"/>
        </w:rPr>
        <w:t>value-based</w:t>
      </w:r>
      <w:proofErr w:type="spellEnd"/>
      <w:r>
        <w:rPr>
          <w:sz w:val="20"/>
        </w:rPr>
        <w:t xml:space="preserve">” per il sistema, la collettività, i professionisti, aumentando la propensione alla valorizzazione dell’esperienza dei pazienti, alla  personalizzazione delle risposte e alla capacità di cogliere tempestivamente il mutamento dei bisogni della collettività. </w:t>
      </w:r>
    </w:p>
    <w:p w14:paraId="6C57E1D0" w14:textId="77777777" w:rsidR="00E27519" w:rsidRDefault="00E27519">
      <w:pPr>
        <w:spacing w:before="0"/>
        <w:jc w:val="both"/>
        <w:rPr>
          <w:rFonts w:asciiTheme="minorHAnsi" w:eastAsia="Calibri" w:hAnsiTheme="minorHAnsi"/>
          <w:b/>
          <w:strike/>
          <w:sz w:val="20"/>
          <w:lang w:eastAsia="en-US"/>
        </w:rPr>
      </w:pPr>
    </w:p>
    <w:p w14:paraId="027ED79C" w14:textId="77777777" w:rsidR="00E27519" w:rsidRDefault="0003178C">
      <w:pPr>
        <w:pStyle w:val="Titolo3Verdana"/>
        <w:rPr>
          <w:rFonts w:asciiTheme="minorHAnsi" w:eastAsia="Calibri" w:hAnsiTheme="minorHAnsi"/>
        </w:rPr>
      </w:pPr>
      <w:bookmarkStart w:id="32" w:name="_Toc486415640"/>
      <w:r>
        <w:rPr>
          <w:rFonts w:asciiTheme="minorHAnsi" w:eastAsia="Calibri" w:hAnsiTheme="minorHAnsi"/>
        </w:rPr>
        <w:t>5.1 Progetto di gestione unica AOU Policlinico di Modena – Nuovo Ospedale Civile Sant’Agostino Estense (NOCSAE)</w:t>
      </w:r>
      <w:bookmarkEnd w:id="32"/>
    </w:p>
    <w:p w14:paraId="572236A4" w14:textId="77777777" w:rsidR="00E27519" w:rsidRDefault="0003178C">
      <w:pPr>
        <w:spacing w:before="0"/>
        <w:jc w:val="both"/>
        <w:rPr>
          <w:rFonts w:asciiTheme="minorHAnsi" w:eastAsia="Calibri" w:hAnsiTheme="minorHAnsi"/>
          <w:sz w:val="20"/>
          <w:lang w:eastAsia="en-US"/>
        </w:rPr>
      </w:pPr>
      <w:r>
        <w:rPr>
          <w:rFonts w:eastAsia="Calibri"/>
          <w:sz w:val="20"/>
          <w:lang w:eastAsia="en-US"/>
        </w:rPr>
        <w:t>Il progetto di sperimentazione della gestione unica del NOCSAE dal parte dell’AOU Policlinico di Modena è stato avviato dalla RER su proposta della Conferenza Territoriale Sociale e Sanitaria (CTSS) della Provincia di Modena, con la DGR 2092/2015, con i seguenti obiettivi:  “evitare la crescita dell'offerta ospedaliera complessiva oltre i fabbisogni individuati dalla programmazione e la duplicazione dell'offerta stessa, realizzando coerentemente agli obiettivi della programmazione regionale la concentrazione della attività ospedaliere, ottimizzando la qualità e la sostenibilità economica dei percorsi assistenziali" ed indicando come obiettivi strategici:</w:t>
      </w:r>
    </w:p>
    <w:p w14:paraId="5697098C" w14:textId="77777777" w:rsidR="00E27519" w:rsidRDefault="0003178C">
      <w:pPr>
        <w:pStyle w:val="Paragrafoelenco2"/>
        <w:numPr>
          <w:ilvl w:val="0"/>
          <w:numId w:val="23"/>
        </w:numPr>
        <w:jc w:val="both"/>
        <w:rPr>
          <w:rFonts w:asciiTheme="minorHAnsi" w:eastAsia="Calibri" w:hAnsiTheme="minorHAnsi"/>
          <w:lang w:eastAsia="en-US"/>
        </w:rPr>
      </w:pPr>
      <w:r>
        <w:rPr>
          <w:rFonts w:asciiTheme="minorHAnsi" w:eastAsia="Calibri" w:hAnsiTheme="minorHAnsi"/>
          <w:lang w:eastAsia="en-US"/>
        </w:rPr>
        <w:t>la razionalizzazione della struttura complessiva dei costi delle due Aziende sanitarie in ambito provinciale;</w:t>
      </w:r>
    </w:p>
    <w:p w14:paraId="7B5613C7" w14:textId="77777777" w:rsidR="00E27519" w:rsidRDefault="0003178C">
      <w:pPr>
        <w:pStyle w:val="Paragrafoelenco2"/>
        <w:numPr>
          <w:ilvl w:val="0"/>
          <w:numId w:val="23"/>
        </w:numPr>
        <w:jc w:val="both"/>
        <w:rPr>
          <w:rFonts w:asciiTheme="minorHAnsi" w:eastAsia="Calibri" w:hAnsiTheme="minorHAnsi"/>
          <w:lang w:eastAsia="en-US"/>
        </w:rPr>
      </w:pPr>
      <w:r>
        <w:rPr>
          <w:rFonts w:asciiTheme="minorHAnsi" w:eastAsia="Calibri" w:hAnsiTheme="minorHAnsi"/>
          <w:lang w:eastAsia="en-US"/>
        </w:rPr>
        <w:t xml:space="preserve">l’invarianza, quanto meno in avvio, dei livelli di performance (per ottenere successivamente un miglioramento); </w:t>
      </w:r>
    </w:p>
    <w:p w14:paraId="3041A3EB" w14:textId="77777777" w:rsidR="00E27519" w:rsidRDefault="0003178C">
      <w:pPr>
        <w:pStyle w:val="Paragrafoelenco2"/>
        <w:numPr>
          <w:ilvl w:val="0"/>
          <w:numId w:val="23"/>
        </w:numPr>
        <w:jc w:val="both"/>
        <w:rPr>
          <w:rFonts w:asciiTheme="minorHAnsi" w:eastAsia="Calibri" w:hAnsiTheme="minorHAnsi"/>
          <w:lang w:eastAsia="en-US"/>
        </w:rPr>
      </w:pPr>
      <w:r>
        <w:rPr>
          <w:rFonts w:asciiTheme="minorHAnsi" w:eastAsia="Calibri" w:hAnsiTheme="minorHAnsi"/>
          <w:lang w:eastAsia="en-US"/>
        </w:rPr>
        <w:t xml:space="preserve">il consolidamento operativo, la semplificazione e la tempestività dei progetti integrati di cura, in relazione ad un nuovo disegno dei percorsi socio assistenziali fra Policlinico e NOCSAE e gli ospedali della rete provinciale; </w:t>
      </w:r>
    </w:p>
    <w:p w14:paraId="613A3421" w14:textId="77777777" w:rsidR="00E27519" w:rsidRDefault="0003178C">
      <w:pPr>
        <w:pStyle w:val="Paragrafoelenco2"/>
        <w:numPr>
          <w:ilvl w:val="0"/>
          <w:numId w:val="23"/>
        </w:numPr>
        <w:jc w:val="both"/>
        <w:rPr>
          <w:rFonts w:asciiTheme="minorHAnsi" w:eastAsia="Calibri" w:hAnsiTheme="minorHAnsi"/>
          <w:lang w:eastAsia="en-US"/>
        </w:rPr>
      </w:pPr>
      <w:r>
        <w:rPr>
          <w:rFonts w:asciiTheme="minorHAnsi" w:eastAsia="Calibri" w:hAnsiTheme="minorHAnsi"/>
          <w:lang w:eastAsia="en-US"/>
        </w:rPr>
        <w:t>la maggiore caratterizzazione e integrazione delle vocazioni ospedaliere della rete provinciale”.</w:t>
      </w:r>
    </w:p>
    <w:p w14:paraId="10EEB3F4" w14:textId="77777777" w:rsidR="00E27519" w:rsidRDefault="00E27519">
      <w:pPr>
        <w:spacing w:before="0"/>
        <w:jc w:val="both"/>
        <w:rPr>
          <w:rFonts w:eastAsia="Calibri"/>
          <w:sz w:val="20"/>
          <w:lang w:eastAsia="en-US"/>
        </w:rPr>
      </w:pPr>
    </w:p>
    <w:p w14:paraId="307A4293" w14:textId="456F6B01" w:rsidR="00E27519" w:rsidRDefault="0003178C">
      <w:pPr>
        <w:spacing w:before="0"/>
        <w:jc w:val="both"/>
        <w:rPr>
          <w:rFonts w:eastAsia="Calibri"/>
          <w:sz w:val="20"/>
          <w:lang w:eastAsia="en-US"/>
        </w:rPr>
      </w:pPr>
      <w:r>
        <w:rPr>
          <w:rFonts w:eastAsia="Calibri"/>
          <w:sz w:val="20"/>
          <w:lang w:eastAsia="en-US"/>
        </w:rPr>
        <w:t xml:space="preserve">La successiva DGR 1004/2016 del 28/6/2016 ha dettagliato il progetto, la cui redazione ha rappresentato per l’AUSL un impegno importante del 2016: definire la prospettiva nella quale collocare </w:t>
      </w:r>
      <w:r w:rsidR="00D34782">
        <w:rPr>
          <w:rFonts w:eastAsia="Calibri"/>
          <w:sz w:val="20"/>
          <w:lang w:eastAsia="en-US"/>
        </w:rPr>
        <w:t xml:space="preserve">la </w:t>
      </w:r>
      <w:r>
        <w:rPr>
          <w:rFonts w:eastAsia="Calibri"/>
          <w:sz w:val="20"/>
          <w:lang w:eastAsia="en-US"/>
        </w:rPr>
        <w:t>riprogrammazione dei servizi e delle attivit</w:t>
      </w:r>
      <w:r w:rsidR="00D947E6">
        <w:rPr>
          <w:rFonts w:eastAsia="Calibri"/>
          <w:sz w:val="20"/>
          <w:lang w:eastAsia="en-US"/>
        </w:rPr>
        <w:t xml:space="preserve">à </w:t>
      </w:r>
      <w:r>
        <w:rPr>
          <w:rFonts w:eastAsia="Calibri"/>
          <w:sz w:val="20"/>
          <w:lang w:eastAsia="en-US"/>
        </w:rPr>
        <w:t>ospedaliere e territoriali per l’intera provincia di Modena, a partire dal profondo mutamento introdotto dalla costituzio</w:t>
      </w:r>
      <w:r w:rsidR="00D34782">
        <w:rPr>
          <w:rFonts w:eastAsia="Calibri"/>
          <w:sz w:val="20"/>
          <w:lang w:eastAsia="en-US"/>
        </w:rPr>
        <w:t>n</w:t>
      </w:r>
      <w:r>
        <w:rPr>
          <w:rFonts w:eastAsia="Calibri"/>
          <w:sz w:val="20"/>
          <w:lang w:eastAsia="en-US"/>
        </w:rPr>
        <w:t>e di un sistema fortemente integrato a rete, nel quale introdurre modelli di gestione, di produzione dei servizi e identificazione dei percorsi di cura radicalmente innovativi, tenendo conto di quanto indicato a livello nazionale dal DM 70/15 e dalla DGR 2040/1</w:t>
      </w:r>
      <w:r w:rsidR="00D34782">
        <w:rPr>
          <w:rFonts w:eastAsia="Calibri"/>
          <w:sz w:val="20"/>
          <w:lang w:eastAsia="en-US"/>
        </w:rPr>
        <w:t>5</w:t>
      </w:r>
      <w:r>
        <w:rPr>
          <w:rFonts w:eastAsia="Calibri"/>
          <w:sz w:val="20"/>
          <w:lang w:eastAsia="en-US"/>
        </w:rPr>
        <w:t xml:space="preserve">; individuare correttamente le attività da trasferire, le relative risorse umane, dirette e indirette, valutare gli impatti sul patrimonio e sui contratti in essere con i fornitori, i criteri di ripartizione degli aspetti che sono stati oggetto non interamente della sperimentazione, l’impatto dell’operazione sul bilancio, la condivisione del tutto con AOU e il livello istituzionale. </w:t>
      </w:r>
    </w:p>
    <w:p w14:paraId="355585E5" w14:textId="77777777" w:rsidR="00E27519" w:rsidRDefault="0003178C">
      <w:pPr>
        <w:spacing w:before="0"/>
        <w:jc w:val="both"/>
        <w:rPr>
          <w:rFonts w:eastAsia="Calibri"/>
          <w:sz w:val="20"/>
          <w:lang w:eastAsia="en-US"/>
        </w:rPr>
      </w:pPr>
      <w:r>
        <w:rPr>
          <w:rFonts w:eastAsia="Calibri"/>
          <w:sz w:val="20"/>
          <w:lang w:eastAsia="en-US"/>
        </w:rPr>
        <w:t>I passi formali che hanno cadenzato l’avanzamento del progetto nel 2016, fino al suo concreto avvio il 1/1/2017, sono stati:</w:t>
      </w:r>
    </w:p>
    <w:p w14:paraId="2CFE6C12" w14:textId="780C9BB7" w:rsidR="00E27519" w:rsidRDefault="0003178C">
      <w:pPr>
        <w:pStyle w:val="Paragrafoelenco2"/>
        <w:numPr>
          <w:ilvl w:val="0"/>
          <w:numId w:val="24"/>
        </w:numPr>
        <w:jc w:val="both"/>
        <w:rPr>
          <w:rFonts w:asciiTheme="minorHAnsi" w:hAnsiTheme="minorHAnsi"/>
        </w:rPr>
      </w:pPr>
      <w:r>
        <w:rPr>
          <w:rFonts w:asciiTheme="minorHAnsi" w:hAnsiTheme="minorHAnsi"/>
        </w:rPr>
        <w:t>La redazione del documento di indirizzo per il riordino delle attivit</w:t>
      </w:r>
      <w:r w:rsidR="00D947E6">
        <w:rPr>
          <w:rFonts w:asciiTheme="minorHAnsi" w:hAnsiTheme="minorHAnsi"/>
        </w:rPr>
        <w:t xml:space="preserve">à </w:t>
      </w:r>
      <w:r>
        <w:rPr>
          <w:rFonts w:asciiTheme="minorHAnsi" w:hAnsiTheme="minorHAnsi"/>
        </w:rPr>
        <w:t xml:space="preserve">ospedaliere e </w:t>
      </w:r>
      <w:proofErr w:type="spellStart"/>
      <w:r>
        <w:rPr>
          <w:rFonts w:asciiTheme="minorHAnsi" w:hAnsiTheme="minorHAnsi"/>
        </w:rPr>
        <w:t>terrioriali</w:t>
      </w:r>
      <w:proofErr w:type="spellEnd"/>
      <w:r>
        <w:rPr>
          <w:rFonts w:asciiTheme="minorHAnsi" w:hAnsiTheme="minorHAnsi"/>
        </w:rPr>
        <w:t xml:space="preserve"> della provincia di Modena che rappresenta parte integrante della DGR 1004/16; </w:t>
      </w:r>
    </w:p>
    <w:p w14:paraId="3784CC20" w14:textId="77777777" w:rsidR="00E27519" w:rsidRDefault="0003178C">
      <w:pPr>
        <w:pStyle w:val="Paragrafoelenco2"/>
        <w:numPr>
          <w:ilvl w:val="0"/>
          <w:numId w:val="24"/>
        </w:numPr>
        <w:jc w:val="both"/>
        <w:rPr>
          <w:rFonts w:asciiTheme="minorHAnsi" w:hAnsiTheme="minorHAnsi"/>
        </w:rPr>
      </w:pPr>
      <w:r>
        <w:rPr>
          <w:rFonts w:asciiTheme="minorHAnsi" w:hAnsiTheme="minorHAnsi"/>
        </w:rPr>
        <w:t xml:space="preserve">La progettazione dell'Accordo Quadro e delle convenzioni relative ai singoli servizi/aree di attività che pattuissero le condizioni di assegnazione/trasferimento degli </w:t>
      </w:r>
      <w:proofErr w:type="spellStart"/>
      <w:r>
        <w:rPr>
          <w:rFonts w:asciiTheme="minorHAnsi" w:hAnsiTheme="minorHAnsi"/>
        </w:rPr>
        <w:t>asset</w:t>
      </w:r>
      <w:proofErr w:type="spellEnd"/>
      <w:r>
        <w:rPr>
          <w:rFonts w:asciiTheme="minorHAnsi" w:hAnsiTheme="minorHAnsi"/>
        </w:rPr>
        <w:t xml:space="preserve"> ad AOU (delibera 193 del 14/10/2016 "Accordo Quadro e Convenzione Generale tra l’Azienda USL di Modena e l’Azienda Ospedaliero-Universitaria Policlinico di Modena per la gestione unica tra il Nuovo Ospedale Civile S. Agostino Estense (N.O.C.S.A.E) e il Policlinico – Recepimento"); </w:t>
      </w:r>
    </w:p>
    <w:p w14:paraId="7C97BC71" w14:textId="77777777" w:rsidR="00E27519" w:rsidRDefault="0003178C">
      <w:pPr>
        <w:pStyle w:val="Paragrafoelenco2"/>
        <w:numPr>
          <w:ilvl w:val="0"/>
          <w:numId w:val="24"/>
        </w:numPr>
        <w:jc w:val="both"/>
        <w:rPr>
          <w:rFonts w:asciiTheme="minorHAnsi" w:hAnsiTheme="minorHAnsi"/>
        </w:rPr>
      </w:pPr>
      <w:r>
        <w:rPr>
          <w:rFonts w:asciiTheme="minorHAnsi" w:hAnsiTheme="minorHAnsi"/>
        </w:rPr>
        <w:lastRenderedPageBreak/>
        <w:t xml:space="preserve">La Delibera 306 del 30/12/2016 "Gestione unica tra Nuovo Ospedale Civile Sant’Agostino Estense (NOCSAE) e Policlinico di Modena. Ricognizione e trasferimento della titolarità dei contratti per la fornitura di beni e servizi e per la vendita di prestazioni sanitarie dall’Azienda </w:t>
      </w:r>
      <w:proofErr w:type="spellStart"/>
      <w:r>
        <w:rPr>
          <w:rFonts w:asciiTheme="minorHAnsi" w:hAnsiTheme="minorHAnsi"/>
        </w:rPr>
        <w:t>Usl</w:t>
      </w:r>
      <w:proofErr w:type="spellEnd"/>
      <w:r>
        <w:rPr>
          <w:rFonts w:asciiTheme="minorHAnsi" w:hAnsiTheme="minorHAnsi"/>
        </w:rPr>
        <w:t xml:space="preserve"> di Modena all’Azienda Ospedaliero Universitaria di Modena. "</w:t>
      </w:r>
    </w:p>
    <w:p w14:paraId="64252C91" w14:textId="77777777" w:rsidR="00E27519" w:rsidRDefault="0003178C">
      <w:pPr>
        <w:pStyle w:val="Paragrafoelenco2"/>
        <w:numPr>
          <w:ilvl w:val="0"/>
          <w:numId w:val="24"/>
        </w:numPr>
        <w:jc w:val="both"/>
        <w:rPr>
          <w:rFonts w:asciiTheme="minorHAnsi" w:hAnsiTheme="minorHAnsi"/>
        </w:rPr>
      </w:pPr>
      <w:r>
        <w:rPr>
          <w:rFonts w:asciiTheme="minorHAnsi" w:hAnsiTheme="minorHAnsi"/>
        </w:rPr>
        <w:t xml:space="preserve">La Delibera 307 del 30/12/2016 "Gestione unica tra Nuovo Ospedale Civile Sant’Agostino Estense (NOCSAE) e Policlinico di Modena. Approvazione protocolli operativi di cui alla Convenzione generale tra l’Azienda USL di Modena e l’Azienda Ospedaliero Universitaria di Modena di avvio della sperimentazione gestionale." </w:t>
      </w:r>
    </w:p>
    <w:p w14:paraId="012B97B6" w14:textId="77777777" w:rsidR="00E27519" w:rsidRDefault="0003178C">
      <w:pPr>
        <w:pStyle w:val="Paragrafoelenco2"/>
        <w:numPr>
          <w:ilvl w:val="0"/>
          <w:numId w:val="24"/>
        </w:numPr>
        <w:jc w:val="both"/>
        <w:rPr>
          <w:rFonts w:asciiTheme="minorHAnsi" w:hAnsiTheme="minorHAnsi"/>
        </w:rPr>
      </w:pPr>
      <w:r>
        <w:rPr>
          <w:rFonts w:asciiTheme="minorHAnsi" w:hAnsiTheme="minorHAnsi"/>
        </w:rPr>
        <w:t xml:space="preserve">La definizione del personale e delle unità organizzative oggetto dell'assegnazione temporanea all'AOU dal 1/1/2017 (Delibera 308/2016 "Assegnazione temporanea all’Azienda Ospedaliero-Universitaria di Modena del personale dell’Azienda USL assegnato al NOCSAE di Baggiovara ai sensi della DGR n. 1004 del 28.06.2016" e Delibera 5/2017 "Gestione unica tra Nuovo Ospedale Civile Sant’Agostino Estense (NOCSAE) e Policlinico di Modena. Ricognizione delle Strutture oggetto di gestione unica e conseguenti modifiche al Manuale Organizzativo dell’Azienda </w:t>
      </w:r>
      <w:proofErr w:type="spellStart"/>
      <w:r>
        <w:rPr>
          <w:rFonts w:asciiTheme="minorHAnsi" w:hAnsiTheme="minorHAnsi"/>
        </w:rPr>
        <w:t>Usl</w:t>
      </w:r>
      <w:proofErr w:type="spellEnd"/>
      <w:r>
        <w:rPr>
          <w:rFonts w:asciiTheme="minorHAnsi" w:hAnsiTheme="minorHAnsi"/>
        </w:rPr>
        <w:t xml:space="preserve"> di Modena).</w:t>
      </w:r>
    </w:p>
    <w:p w14:paraId="0067DD37" w14:textId="77777777" w:rsidR="00E27519" w:rsidRDefault="00E27519">
      <w:pPr>
        <w:pStyle w:val="Paragrafoelenco2"/>
        <w:ind w:left="360"/>
        <w:jc w:val="both"/>
        <w:rPr>
          <w:rFonts w:asciiTheme="minorHAnsi" w:hAnsiTheme="minorHAnsi"/>
        </w:rPr>
      </w:pPr>
    </w:p>
    <w:p w14:paraId="695EB19A" w14:textId="77777777" w:rsidR="00E27519" w:rsidRDefault="00E27519">
      <w:pPr>
        <w:spacing w:before="0"/>
        <w:jc w:val="both"/>
        <w:rPr>
          <w:rFonts w:eastAsia="Calibri"/>
          <w:b/>
          <w:sz w:val="20"/>
          <w:lang w:eastAsia="en-US"/>
        </w:rPr>
      </w:pPr>
    </w:p>
    <w:p w14:paraId="70D049EB" w14:textId="77777777" w:rsidR="00E27519" w:rsidRDefault="0003178C">
      <w:pPr>
        <w:pStyle w:val="Titolo3Verdana"/>
        <w:rPr>
          <w:rFonts w:asciiTheme="minorHAnsi" w:eastAsia="Calibri" w:hAnsiTheme="minorHAnsi"/>
        </w:rPr>
      </w:pPr>
      <w:bookmarkStart w:id="33" w:name="_Toc486415641"/>
      <w:r>
        <w:rPr>
          <w:rFonts w:asciiTheme="minorHAnsi" w:eastAsia="Calibri" w:hAnsiTheme="minorHAnsi"/>
        </w:rPr>
        <w:t>5.2 Processo di programmazione</w:t>
      </w:r>
      <w:bookmarkEnd w:id="33"/>
    </w:p>
    <w:p w14:paraId="01B0A892" w14:textId="254D7C00" w:rsidR="00E27519" w:rsidRDefault="0003178C">
      <w:pPr>
        <w:spacing w:before="0"/>
        <w:jc w:val="both"/>
        <w:rPr>
          <w:sz w:val="20"/>
        </w:rPr>
      </w:pPr>
      <w:r>
        <w:rPr>
          <w:sz w:val="20"/>
        </w:rPr>
        <w:t>Il processo di programmazione, monitoraggio e controllo è uno dei principali sistemi operativi dell’Azienda finalizzato ad orientare le attività e i comportamenti delle unità produttive di servizi e di quelle di supporto. Il processo include le indicazioni della programmazione regionale, gli obiettivi specifici di miglioramento individuati dall’Azienda e li “traduce” in obiettivi delle proprie unità e ruoli interni, con target e tempi di realizzazione, normalmente entro l’anno.</w:t>
      </w:r>
    </w:p>
    <w:p w14:paraId="713FA79A" w14:textId="77777777" w:rsidR="00E27519" w:rsidRDefault="00E27519">
      <w:pPr>
        <w:spacing w:before="0"/>
        <w:jc w:val="both"/>
        <w:rPr>
          <w:sz w:val="20"/>
        </w:rPr>
      </w:pPr>
    </w:p>
    <w:p w14:paraId="320DB27D" w14:textId="6939AE34" w:rsidR="00E27519" w:rsidRDefault="0003178C">
      <w:pPr>
        <w:spacing w:before="0"/>
        <w:jc w:val="both"/>
        <w:rPr>
          <w:sz w:val="20"/>
        </w:rPr>
      </w:pPr>
      <w:r>
        <w:rPr>
          <w:sz w:val="20"/>
        </w:rPr>
        <w:t>La Direzione aziendale, nella ridefinizione dei progetti strategici per il prossimo triennio, ha avviato un percorso di revisione del processo di budget finalizzato alla anticipazione dei processi di programmazione in modo coerente alle scadenze annuali, all’affinamento dei processi di monitoraggio, di maggiore incisivit</w:t>
      </w:r>
      <w:r w:rsidR="00D947E6">
        <w:rPr>
          <w:sz w:val="20"/>
        </w:rPr>
        <w:t xml:space="preserve">à </w:t>
      </w:r>
      <w:r>
        <w:rPr>
          <w:sz w:val="20"/>
        </w:rPr>
        <w:t xml:space="preserve">nel miglioramento delle performance aziendali, e nel coinvolgimento della componente professionale. Il processo ha avuto inizio nel dicembre 2016 con la negoziazione tra la Direzione Strategica e i Dipartimenti Ospedalieri e Territoriali. Nel ciclo di budget 2016, ed in particolare in sede di revisione di budget, realizzata nell’Aprile 2016, si </w:t>
      </w:r>
      <w:r w:rsidR="00315DEF">
        <w:rPr>
          <w:sz w:val="20"/>
        </w:rPr>
        <w:t>è</w:t>
      </w:r>
      <w:r>
        <w:rPr>
          <w:sz w:val="20"/>
        </w:rPr>
        <w:t xml:space="preserve"> data maggiore enfasi a obiettivi di rilevanza regionale e a particolari indicatori di performance ad essi connessi. Sono stati aggiunti degli obiettivi dalla DGR 1003/16 ed altri già esistenti sono stati declinati ulteriormente, rivedendo i target in senso migliorativo nel caso in cui il risultato fosse stato già raggiunto. Sono inoltre stati aggiunti degli indicatori del Sistema per la Valutazione delle Performance del Sistema Sanitario della Regione Emilia-Romagna (SIVER) oltre che agli indicatori della Sorveglianza del Sistema Chirurgico (</w:t>
      </w:r>
      <w:proofErr w:type="spellStart"/>
      <w:r>
        <w:rPr>
          <w:sz w:val="20"/>
        </w:rPr>
        <w:t>SIChER</w:t>
      </w:r>
      <w:proofErr w:type="spellEnd"/>
      <w:r>
        <w:rPr>
          <w:sz w:val="20"/>
        </w:rPr>
        <w:t>), che sono stati resi disponibili alle Aziende nel corso del 2016.</w:t>
      </w:r>
    </w:p>
    <w:p w14:paraId="5B12205B" w14:textId="2AA8320D" w:rsidR="00E27519" w:rsidRDefault="0003178C">
      <w:pPr>
        <w:spacing w:before="0"/>
        <w:jc w:val="both"/>
        <w:rPr>
          <w:rFonts w:asciiTheme="minorHAnsi" w:hAnsiTheme="minorHAnsi"/>
          <w:sz w:val="20"/>
        </w:rPr>
      </w:pPr>
      <w:r>
        <w:rPr>
          <w:sz w:val="20"/>
        </w:rPr>
        <w:t xml:space="preserve">Una delle principali direttrici operative </w:t>
      </w:r>
      <w:r w:rsidR="00315DEF">
        <w:rPr>
          <w:sz w:val="20"/>
        </w:rPr>
        <w:t>è</w:t>
      </w:r>
      <w:r>
        <w:rPr>
          <w:sz w:val="20"/>
        </w:rPr>
        <w:t xml:space="preserve"> stato il processo di allineamento  tra le linee </w:t>
      </w:r>
      <w:r>
        <w:rPr>
          <w:rFonts w:asciiTheme="minorHAnsi" w:hAnsiTheme="minorHAnsi"/>
          <w:sz w:val="20"/>
        </w:rPr>
        <w:t xml:space="preserve">strategiche aziendali, </w:t>
      </w:r>
      <w:r>
        <w:rPr>
          <w:sz w:val="20"/>
        </w:rPr>
        <w:t xml:space="preserve">le linee di indirizzo regionali,  il budget, e </w:t>
      </w:r>
      <w:r>
        <w:rPr>
          <w:rFonts w:asciiTheme="minorHAnsi" w:hAnsiTheme="minorHAnsi"/>
          <w:sz w:val="20"/>
        </w:rPr>
        <w:t xml:space="preserve"> al fine di utilizzare i documenti di programmazione come una leva per diffondere una cultura di maggiore responsabilizzazione maggiore di tutti i professionisti convolti, a partire dalle Direzioni di Dipartimento ed il personale di comparto, sia in merito alle attività sanitarie che alla gestione delle risorse assegnate. </w:t>
      </w:r>
    </w:p>
    <w:p w14:paraId="24D7F7D1" w14:textId="7BFE6370" w:rsidR="00E27519" w:rsidRDefault="0003178C">
      <w:pPr>
        <w:spacing w:before="0"/>
        <w:jc w:val="both"/>
        <w:rPr>
          <w:rFonts w:asciiTheme="minorHAnsi" w:hAnsiTheme="minorHAnsi"/>
          <w:sz w:val="20"/>
        </w:rPr>
      </w:pPr>
      <w:r>
        <w:rPr>
          <w:rFonts w:asciiTheme="minorHAnsi" w:hAnsiTheme="minorHAnsi"/>
          <w:sz w:val="20"/>
        </w:rPr>
        <w:t xml:space="preserve">Nel processo di programmazione </w:t>
      </w:r>
      <w:r w:rsidR="00315DEF">
        <w:rPr>
          <w:rFonts w:asciiTheme="minorHAnsi" w:hAnsiTheme="minorHAnsi"/>
          <w:sz w:val="20"/>
        </w:rPr>
        <w:t>è</w:t>
      </w:r>
      <w:r>
        <w:rPr>
          <w:rFonts w:asciiTheme="minorHAnsi" w:hAnsiTheme="minorHAnsi"/>
          <w:sz w:val="20"/>
        </w:rPr>
        <w:t xml:space="preserve"> stata formalmente introdotta una dimensione trasversale, per processo/percorso, i cui elementi caratteristici inseriti nel budget sono:</w:t>
      </w:r>
    </w:p>
    <w:p w14:paraId="0C4AC5A6" w14:textId="77777777" w:rsidR="00E27519" w:rsidRDefault="0003178C">
      <w:pPr>
        <w:pStyle w:val="Paragrafoelenco2"/>
        <w:numPr>
          <w:ilvl w:val="0"/>
          <w:numId w:val="27"/>
        </w:numPr>
        <w:jc w:val="both"/>
        <w:rPr>
          <w:rFonts w:asciiTheme="minorHAnsi" w:hAnsiTheme="minorHAnsi"/>
        </w:rPr>
      </w:pPr>
      <w:r>
        <w:rPr>
          <w:rFonts w:asciiTheme="minorHAnsi" w:hAnsiTheme="minorHAnsi"/>
        </w:rPr>
        <w:t>la partecipazione di tutti gli attori coinvolti (dipartimenti, figure professionali, staff, direzione operativa);</w:t>
      </w:r>
    </w:p>
    <w:p w14:paraId="2B8D380A" w14:textId="77777777" w:rsidR="00E27519" w:rsidRDefault="0003178C">
      <w:pPr>
        <w:pStyle w:val="Paragrafoelenco2"/>
        <w:numPr>
          <w:ilvl w:val="0"/>
          <w:numId w:val="27"/>
        </w:numPr>
        <w:jc w:val="both"/>
        <w:rPr>
          <w:rFonts w:asciiTheme="minorHAnsi" w:hAnsiTheme="minorHAnsi"/>
        </w:rPr>
      </w:pPr>
      <w:r>
        <w:rPr>
          <w:rFonts w:asciiTheme="minorHAnsi" w:hAnsiTheme="minorHAnsi"/>
        </w:rPr>
        <w:t>la prospettiva multidimensionale che prevede l’introduzione di diverse dimensioni di analisi/valutazione: Accesso, Appropriatezza, Esito, Equità, Customer Experience, Sostenibilità.</w:t>
      </w:r>
    </w:p>
    <w:p w14:paraId="63AB9D17" w14:textId="77041212" w:rsidR="00E27519" w:rsidRDefault="0003178C">
      <w:pPr>
        <w:pStyle w:val="Paragrafoelenco2"/>
        <w:numPr>
          <w:ilvl w:val="0"/>
          <w:numId w:val="27"/>
        </w:numPr>
        <w:jc w:val="both"/>
        <w:rPr>
          <w:rFonts w:asciiTheme="minorHAnsi" w:hAnsiTheme="minorHAnsi"/>
        </w:rPr>
      </w:pPr>
      <w:r>
        <w:rPr>
          <w:rFonts w:asciiTheme="minorHAnsi" w:hAnsiTheme="minorHAnsi"/>
        </w:rPr>
        <w:t>la progettazione e l’utilizzo di strumenti specifici di monitoraggio  e di verifica del raggiungimento di risultati specifici e complessivi di processo.</w:t>
      </w:r>
    </w:p>
    <w:p w14:paraId="751FB79D" w14:textId="77777777" w:rsidR="00E27519" w:rsidRDefault="0003178C">
      <w:pPr>
        <w:spacing w:before="0"/>
        <w:jc w:val="both"/>
        <w:rPr>
          <w:sz w:val="20"/>
        </w:rPr>
      </w:pPr>
      <w:r>
        <w:rPr>
          <w:sz w:val="20"/>
        </w:rPr>
        <w:t>Per il 2017 i percorsi/processi scelti sono stati:</w:t>
      </w:r>
    </w:p>
    <w:p w14:paraId="5CD403CF" w14:textId="77777777" w:rsidR="00E27519" w:rsidRDefault="0003178C">
      <w:pPr>
        <w:pStyle w:val="Paragrafoelenco2"/>
        <w:numPr>
          <w:ilvl w:val="0"/>
          <w:numId w:val="28"/>
        </w:numPr>
        <w:jc w:val="both"/>
        <w:rPr>
          <w:rFonts w:asciiTheme="minorHAnsi" w:hAnsiTheme="minorHAnsi"/>
        </w:rPr>
      </w:pPr>
      <w:r>
        <w:rPr>
          <w:rFonts w:asciiTheme="minorHAnsi" w:hAnsiTheme="minorHAnsi"/>
        </w:rPr>
        <w:t>Dolore Lombare</w:t>
      </w:r>
    </w:p>
    <w:p w14:paraId="4CA30D1E" w14:textId="77777777" w:rsidR="00E27519" w:rsidRDefault="0003178C">
      <w:pPr>
        <w:pStyle w:val="Paragrafoelenco2"/>
        <w:numPr>
          <w:ilvl w:val="0"/>
          <w:numId w:val="28"/>
        </w:numPr>
        <w:jc w:val="both"/>
        <w:rPr>
          <w:rFonts w:asciiTheme="minorHAnsi" w:hAnsiTheme="minorHAnsi"/>
        </w:rPr>
      </w:pPr>
      <w:r>
        <w:rPr>
          <w:rFonts w:asciiTheme="minorHAnsi" w:hAnsiTheme="minorHAnsi"/>
        </w:rPr>
        <w:lastRenderedPageBreak/>
        <w:t>Percorso Frattura Femore</w:t>
      </w:r>
    </w:p>
    <w:p w14:paraId="263B0779" w14:textId="77777777" w:rsidR="00E27519" w:rsidRDefault="0003178C">
      <w:pPr>
        <w:pStyle w:val="Paragrafoelenco2"/>
        <w:numPr>
          <w:ilvl w:val="0"/>
          <w:numId w:val="28"/>
        </w:numPr>
        <w:jc w:val="both"/>
        <w:rPr>
          <w:rFonts w:asciiTheme="minorHAnsi" w:hAnsiTheme="minorHAnsi"/>
        </w:rPr>
      </w:pPr>
      <w:r>
        <w:rPr>
          <w:rFonts w:asciiTheme="minorHAnsi" w:hAnsiTheme="minorHAnsi"/>
        </w:rPr>
        <w:t>Percorso Diabete</w:t>
      </w:r>
    </w:p>
    <w:p w14:paraId="419A830D" w14:textId="77777777" w:rsidR="00E27519" w:rsidRDefault="0003178C">
      <w:pPr>
        <w:pStyle w:val="Paragrafoelenco2"/>
        <w:numPr>
          <w:ilvl w:val="0"/>
          <w:numId w:val="28"/>
        </w:numPr>
        <w:jc w:val="both"/>
        <w:rPr>
          <w:rFonts w:asciiTheme="minorHAnsi" w:hAnsiTheme="minorHAnsi"/>
        </w:rPr>
      </w:pPr>
      <w:r>
        <w:rPr>
          <w:rFonts w:asciiTheme="minorHAnsi" w:hAnsiTheme="minorHAnsi"/>
        </w:rPr>
        <w:t>Percorso Nascita</w:t>
      </w:r>
    </w:p>
    <w:p w14:paraId="5FA2583F" w14:textId="77777777" w:rsidR="00E27519" w:rsidRDefault="0003178C">
      <w:pPr>
        <w:pStyle w:val="Paragrafoelenco2"/>
        <w:numPr>
          <w:ilvl w:val="0"/>
          <w:numId w:val="28"/>
        </w:numPr>
        <w:jc w:val="both"/>
        <w:rPr>
          <w:rFonts w:asciiTheme="minorHAnsi" w:hAnsiTheme="minorHAnsi"/>
        </w:rPr>
      </w:pPr>
      <w:r>
        <w:rPr>
          <w:rFonts w:asciiTheme="minorHAnsi" w:hAnsiTheme="minorHAnsi"/>
        </w:rPr>
        <w:t>Percorso Chirurgico.</w:t>
      </w:r>
    </w:p>
    <w:p w14:paraId="72205083" w14:textId="77777777" w:rsidR="00E27519" w:rsidRDefault="00E27519">
      <w:pPr>
        <w:spacing w:before="0"/>
        <w:jc w:val="both"/>
        <w:rPr>
          <w:sz w:val="20"/>
        </w:rPr>
      </w:pPr>
    </w:p>
    <w:p w14:paraId="5CBD9372" w14:textId="0D0CCC91" w:rsidR="00E27519" w:rsidRDefault="0003178C">
      <w:pPr>
        <w:spacing w:before="0"/>
        <w:jc w:val="both"/>
        <w:rPr>
          <w:sz w:val="20"/>
        </w:rPr>
      </w:pPr>
      <w:r>
        <w:rPr>
          <w:sz w:val="20"/>
        </w:rPr>
        <w:t>Per ogni processo è stato identificato un “monitor” che monitora l’andamento del percorso e interviene supportando le UUOO coinvolte al raggiungimento dell’obiettivo, attivando tutti i professionisti coinvolti.  Più nel dettaglio, il Monitor rappresenta l’interfaccia con i professionisti e la Direzione Sanitaria dell’intero processo, monitora l’andamento degli obiettivi/indicatori, rendiconta l’andamento, interviene nel processo, si avvale di volta in volta dei professionisti aziendali competenti.</w:t>
      </w:r>
    </w:p>
    <w:p w14:paraId="6FCE5EF1" w14:textId="77777777" w:rsidR="00E27519" w:rsidRDefault="00E27519">
      <w:pPr>
        <w:spacing w:before="0"/>
        <w:jc w:val="both"/>
        <w:rPr>
          <w:rFonts w:asciiTheme="minorHAnsi" w:eastAsia="Calibri" w:hAnsiTheme="minorHAnsi"/>
          <w:sz w:val="20"/>
          <w:lang w:eastAsia="en-US"/>
        </w:rPr>
      </w:pPr>
    </w:p>
    <w:p w14:paraId="5B1D3E48" w14:textId="77777777" w:rsidR="00E27519" w:rsidRDefault="0003178C">
      <w:pPr>
        <w:pStyle w:val="Titolo3Verdana"/>
        <w:rPr>
          <w:rFonts w:asciiTheme="minorHAnsi" w:eastAsia="Calibri" w:hAnsiTheme="minorHAnsi"/>
        </w:rPr>
      </w:pPr>
      <w:bookmarkStart w:id="34" w:name="_Toc486415642"/>
      <w:r>
        <w:rPr>
          <w:rFonts w:asciiTheme="minorHAnsi" w:eastAsia="Calibri" w:hAnsiTheme="minorHAnsi"/>
        </w:rPr>
        <w:t>5.3 Accentramento delle attività ospedaliere</w:t>
      </w:r>
      <w:bookmarkEnd w:id="34"/>
    </w:p>
    <w:p w14:paraId="0BEB3E61" w14:textId="1119240B" w:rsidR="00E27519" w:rsidRDefault="0003178C">
      <w:pPr>
        <w:spacing w:before="0"/>
        <w:jc w:val="both"/>
        <w:rPr>
          <w:rFonts w:eastAsia="Calibri"/>
          <w:sz w:val="20"/>
          <w:szCs w:val="22"/>
          <w:lang w:eastAsia="en-US"/>
        </w:rPr>
      </w:pPr>
      <w:r>
        <w:rPr>
          <w:rFonts w:eastAsia="Calibri"/>
          <w:sz w:val="20"/>
          <w:szCs w:val="22"/>
          <w:lang w:eastAsia="en-US"/>
        </w:rPr>
        <w:t>Il processo di accentramento delle attività ospe</w:t>
      </w:r>
      <w:r w:rsidR="00315DEF">
        <w:rPr>
          <w:rFonts w:eastAsia="Calibri"/>
          <w:sz w:val="20"/>
          <w:szCs w:val="22"/>
          <w:lang w:eastAsia="en-US"/>
        </w:rPr>
        <w:t>daliere sulla base della gravità</w:t>
      </w:r>
      <w:r>
        <w:rPr>
          <w:rFonts w:eastAsia="Calibri"/>
          <w:sz w:val="20"/>
          <w:szCs w:val="22"/>
          <w:lang w:eastAsia="en-US"/>
        </w:rPr>
        <w:t xml:space="preserve"> delle condizioni del paziente e delle risorse strutturali, professionali e logistiche presenti nei vari Ospedali della rete risulta ormai a regime per il trattamento delle emergenze tempo dipendenti, per la chirurgia oncologica ed in parte per la chirurgia in elezione.</w:t>
      </w:r>
    </w:p>
    <w:p w14:paraId="5AC4CA21" w14:textId="77777777" w:rsidR="00E27519" w:rsidRDefault="0003178C">
      <w:pPr>
        <w:spacing w:before="0"/>
        <w:jc w:val="both"/>
        <w:rPr>
          <w:rFonts w:eastAsia="Calibri"/>
          <w:sz w:val="20"/>
          <w:szCs w:val="22"/>
          <w:lang w:eastAsia="en-US"/>
        </w:rPr>
      </w:pPr>
      <w:r>
        <w:rPr>
          <w:rFonts w:eastAsia="Calibri"/>
          <w:sz w:val="20"/>
          <w:szCs w:val="22"/>
          <w:lang w:eastAsia="en-US"/>
        </w:rPr>
        <w:t>La gestione in emergenza di quadri clinici gravi a rapidissima insorgenza, (emergenze tempo dipendenti) quali Infarto Miocardico Acuto (IMA), ictus (infarto o emorragia cerebrale), politraumi gravi, patologie vascolari ed emorragie digestive, tutte condizioni che se non trattate precocemente ed in modo specifico possono comportare gravissime conseguenze per il paziente ed esitare  in gravi invalidità o addirittura la morte,  avviene, già da diversi anni, in modo omogeneo su tutto il territorio provinciale, garantendo qualità e pari opportunità di accesso alle procedure salvavita. In questi casi il percorso assistenziale prevede che sia garantito un intervento coordinato, secondo protocolli condivisi tra le strutture della rete dell’emergenza territoriale (PS, mezzi di soccorso, guardie mediche ecc) e dell’ospedale di Baggiovara che accoglie e tratta in emergenza tutti questi pazienti. Si evidenzia che il trattamento precoce e la centralizzazione di tale casistica risulta efficace anche grazie al ricorso alla telemedicina (</w:t>
      </w:r>
      <w:proofErr w:type="spellStart"/>
      <w:r>
        <w:rPr>
          <w:rFonts w:eastAsia="Calibri"/>
          <w:sz w:val="20"/>
          <w:szCs w:val="22"/>
          <w:lang w:eastAsia="en-US"/>
        </w:rPr>
        <w:t>telecardiololgia</w:t>
      </w:r>
      <w:proofErr w:type="spellEnd"/>
      <w:r>
        <w:rPr>
          <w:rFonts w:eastAsia="Calibri"/>
          <w:sz w:val="20"/>
          <w:szCs w:val="22"/>
          <w:lang w:eastAsia="en-US"/>
        </w:rPr>
        <w:t xml:space="preserve">, </w:t>
      </w:r>
      <w:proofErr w:type="spellStart"/>
      <w:r>
        <w:rPr>
          <w:rFonts w:eastAsia="Calibri"/>
          <w:sz w:val="20"/>
          <w:szCs w:val="22"/>
          <w:lang w:eastAsia="en-US"/>
        </w:rPr>
        <w:t>telestroke</w:t>
      </w:r>
      <w:proofErr w:type="spellEnd"/>
      <w:r>
        <w:rPr>
          <w:rFonts w:eastAsia="Calibri"/>
          <w:sz w:val="20"/>
          <w:szCs w:val="22"/>
          <w:lang w:eastAsia="en-US"/>
        </w:rPr>
        <w:t xml:space="preserve">, </w:t>
      </w:r>
      <w:proofErr w:type="spellStart"/>
      <w:r>
        <w:rPr>
          <w:rFonts w:eastAsia="Calibri"/>
          <w:sz w:val="20"/>
          <w:szCs w:val="22"/>
          <w:lang w:eastAsia="en-US"/>
        </w:rPr>
        <w:t>teleradiologia</w:t>
      </w:r>
      <w:proofErr w:type="spellEnd"/>
      <w:r>
        <w:rPr>
          <w:rFonts w:eastAsia="Calibri"/>
          <w:sz w:val="20"/>
          <w:szCs w:val="22"/>
          <w:lang w:eastAsia="en-US"/>
        </w:rPr>
        <w:t xml:space="preserve">) ovvero alla refertazione a distanza di ECG (eseguiti al domicilio del paziente, in strutture protette), di indagini di radiologia (TAC RM e radiologia tradizionale eseguite presso le Radiologie del territorio) e di consulenze specialistiche (neurologiche, cardiologiche, ecc.) rese da specialisti del NOCSAE a favore delle strutture della rete provinciale. I risultati della centralizzazione di tali emergenze hanno mostrato indici positivi in termini di processo, (la capacità delle nostre strutture di fare arrivare il paziente in tempi rapidi alla struttura in grado di offrire il miglior trattamento) e di esiti quali la mortalità, queste performances come riportato dal sistema di valutazione regionale SIV-ER, dove la provincia di Modena risulta sistematicamente migliore rispetto alla media regionale. </w:t>
      </w:r>
    </w:p>
    <w:p w14:paraId="4A8B4B59" w14:textId="77777777" w:rsidR="00E27519" w:rsidRDefault="0003178C">
      <w:pPr>
        <w:spacing w:before="0"/>
        <w:jc w:val="both"/>
        <w:rPr>
          <w:rFonts w:eastAsia="Calibri"/>
          <w:sz w:val="20"/>
          <w:szCs w:val="22"/>
          <w:lang w:eastAsia="en-US"/>
        </w:rPr>
      </w:pPr>
      <w:r>
        <w:rPr>
          <w:rFonts w:eastAsia="Calibri"/>
          <w:sz w:val="20"/>
          <w:szCs w:val="22"/>
          <w:lang w:eastAsia="en-US"/>
        </w:rPr>
        <w:t>Un altro importante ambito ove il riordino produttivo si è sviluppato nel rispetto del principio volume/esiti, che prevede che a volumi maggiori di trattamento da parte di una stessa struttura corrispondano migliore qualità dell’assistenza  ed esiti più favorevoli per il paziente, è rappresentato dalla chirurgia oncologica</w:t>
      </w:r>
      <w:r>
        <w:rPr>
          <w:rFonts w:eastAsia="Calibri"/>
          <w:b/>
          <w:sz w:val="20"/>
          <w:szCs w:val="22"/>
          <w:lang w:eastAsia="en-US"/>
        </w:rPr>
        <w:t xml:space="preserve"> </w:t>
      </w:r>
      <w:r>
        <w:rPr>
          <w:rFonts w:eastAsia="Calibri"/>
          <w:sz w:val="20"/>
          <w:szCs w:val="22"/>
          <w:lang w:eastAsia="en-US"/>
        </w:rPr>
        <w:t xml:space="preserve">che ha visto concentrare in poche strutture (Policlinico-Baggiovara, Carpi e Sassuolo) della rete provinciale gli interventi chirurgici più complessi per i cancri della mammella, del sistema gastroenterico (colon retto, stomaco, esofago, pancreas e fegato), ma anche del polmone ed in parte di utero e ovaio.  </w:t>
      </w:r>
    </w:p>
    <w:p w14:paraId="5CD67CBB" w14:textId="77777777" w:rsidR="00E27519" w:rsidRDefault="00E27519">
      <w:pPr>
        <w:spacing w:before="0"/>
        <w:jc w:val="both"/>
        <w:rPr>
          <w:rFonts w:eastAsia="Calibri"/>
          <w:sz w:val="18"/>
          <w:lang w:eastAsia="en-US"/>
        </w:rPr>
      </w:pPr>
    </w:p>
    <w:p w14:paraId="2B7C0540" w14:textId="77777777" w:rsidR="00E27519" w:rsidRDefault="0003178C">
      <w:pPr>
        <w:spacing w:before="0"/>
        <w:jc w:val="both"/>
        <w:rPr>
          <w:rFonts w:eastAsia="Calibri"/>
          <w:sz w:val="20"/>
          <w:szCs w:val="22"/>
          <w:lang w:eastAsia="en-US"/>
        </w:rPr>
      </w:pPr>
      <w:r>
        <w:rPr>
          <w:rFonts w:eastAsia="Calibri"/>
          <w:sz w:val="20"/>
          <w:szCs w:val="22"/>
          <w:lang w:eastAsia="en-US"/>
        </w:rPr>
        <w:t>Chirurgia Oncologica: lo schema a seguire riporta le afferenze agli Ospedali della rete della casistica oncologica passibile di intervento chirurgico.</w:t>
      </w:r>
    </w:p>
    <w:p w14:paraId="4FE230A1" w14:textId="77777777" w:rsidR="00E27519" w:rsidRDefault="00E27519">
      <w:pPr>
        <w:spacing w:before="0"/>
        <w:jc w:val="both"/>
        <w:rPr>
          <w:rFonts w:eastAsia="Calibri"/>
          <w:sz w:val="20"/>
          <w:szCs w:val="22"/>
          <w:lang w:eastAsia="en-US"/>
        </w:rPr>
      </w:pPr>
    </w:p>
    <w:tbl>
      <w:tblPr>
        <w:tblW w:w="5520" w:type="dxa"/>
        <w:jc w:val="center"/>
        <w:tblLayout w:type="fixed"/>
        <w:tblCellMar>
          <w:left w:w="70" w:type="dxa"/>
          <w:right w:w="70" w:type="dxa"/>
        </w:tblCellMar>
        <w:tblLook w:val="04A0" w:firstRow="1" w:lastRow="0" w:firstColumn="1" w:lastColumn="0" w:noHBand="0" w:noVBand="1"/>
      </w:tblPr>
      <w:tblGrid>
        <w:gridCol w:w="1380"/>
        <w:gridCol w:w="1380"/>
        <w:gridCol w:w="1380"/>
        <w:gridCol w:w="1380"/>
      </w:tblGrid>
      <w:tr w:rsidR="00E27519" w14:paraId="7D580B68" w14:textId="77777777">
        <w:trPr>
          <w:trHeight w:val="300"/>
          <w:jc w:val="center"/>
        </w:trPr>
        <w:tc>
          <w:tcPr>
            <w:tcW w:w="552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33707C29" w14:textId="77777777"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Centralizzazione Chirurgia Oncologica</w:t>
            </w:r>
          </w:p>
        </w:tc>
      </w:tr>
      <w:tr w:rsidR="00E27519" w14:paraId="266C9F6A" w14:textId="77777777">
        <w:trPr>
          <w:trHeight w:val="300"/>
          <w:jc w:val="center"/>
        </w:trPr>
        <w:tc>
          <w:tcPr>
            <w:tcW w:w="1380" w:type="dxa"/>
            <w:tcBorders>
              <w:top w:val="nil"/>
              <w:left w:val="single" w:sz="4" w:space="0" w:color="auto"/>
              <w:bottom w:val="single" w:sz="4" w:space="0" w:color="auto"/>
              <w:right w:val="single" w:sz="4" w:space="0" w:color="auto"/>
            </w:tcBorders>
            <w:shd w:val="clear" w:color="000000" w:fill="8DB4E2"/>
            <w:vAlign w:val="bottom"/>
          </w:tcPr>
          <w:p w14:paraId="35BA7ECE" w14:textId="77777777"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NOCSAE</w:t>
            </w:r>
          </w:p>
        </w:tc>
        <w:tc>
          <w:tcPr>
            <w:tcW w:w="1380" w:type="dxa"/>
            <w:tcBorders>
              <w:top w:val="nil"/>
              <w:left w:val="nil"/>
              <w:bottom w:val="single" w:sz="4" w:space="0" w:color="auto"/>
              <w:right w:val="single" w:sz="4" w:space="0" w:color="auto"/>
            </w:tcBorders>
            <w:shd w:val="clear" w:color="000000" w:fill="8DB4E2"/>
            <w:vAlign w:val="bottom"/>
          </w:tcPr>
          <w:p w14:paraId="4E9F7F93" w14:textId="77777777"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POLICLINICO</w:t>
            </w:r>
          </w:p>
        </w:tc>
        <w:tc>
          <w:tcPr>
            <w:tcW w:w="1380" w:type="dxa"/>
            <w:tcBorders>
              <w:top w:val="nil"/>
              <w:left w:val="nil"/>
              <w:bottom w:val="single" w:sz="4" w:space="0" w:color="auto"/>
              <w:right w:val="single" w:sz="4" w:space="0" w:color="auto"/>
            </w:tcBorders>
            <w:shd w:val="clear" w:color="000000" w:fill="8DB4E2"/>
            <w:vAlign w:val="bottom"/>
          </w:tcPr>
          <w:p w14:paraId="57EE02F7" w14:textId="77777777"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CARPI</w:t>
            </w:r>
          </w:p>
        </w:tc>
        <w:tc>
          <w:tcPr>
            <w:tcW w:w="1380" w:type="dxa"/>
            <w:tcBorders>
              <w:top w:val="nil"/>
              <w:left w:val="nil"/>
              <w:bottom w:val="single" w:sz="4" w:space="0" w:color="auto"/>
              <w:right w:val="single" w:sz="4" w:space="0" w:color="auto"/>
            </w:tcBorders>
            <w:shd w:val="clear" w:color="000000" w:fill="8DB4E2"/>
            <w:vAlign w:val="bottom"/>
          </w:tcPr>
          <w:p w14:paraId="60F4B264" w14:textId="77777777"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SASSUOLO</w:t>
            </w:r>
          </w:p>
        </w:tc>
      </w:tr>
      <w:tr w:rsidR="00E27519" w14:paraId="14BB2CCD" w14:textId="77777777">
        <w:trPr>
          <w:trHeight w:val="105"/>
          <w:jc w:val="center"/>
        </w:trPr>
        <w:tc>
          <w:tcPr>
            <w:tcW w:w="1380" w:type="dxa"/>
            <w:tcBorders>
              <w:top w:val="nil"/>
              <w:left w:val="single" w:sz="4" w:space="0" w:color="auto"/>
              <w:bottom w:val="single" w:sz="4" w:space="0" w:color="auto"/>
              <w:right w:val="single" w:sz="4" w:space="0" w:color="auto"/>
            </w:tcBorders>
            <w:shd w:val="clear" w:color="auto" w:fill="auto"/>
            <w:vAlign w:val="bottom"/>
          </w:tcPr>
          <w:p w14:paraId="302C6D5E" w14:textId="77777777" w:rsidR="00E27519" w:rsidRDefault="0003178C">
            <w:pPr>
              <w:suppressAutoHyphens w:val="0"/>
              <w:spacing w:before="0"/>
              <w:rPr>
                <w:rFonts w:cs="Times New Roman"/>
                <w:b/>
                <w:bCs/>
                <w:color w:val="000000"/>
                <w:szCs w:val="22"/>
                <w:lang w:eastAsia="it-IT" w:bidi="ar-SA"/>
              </w:rPr>
            </w:pPr>
            <w:r>
              <w:rPr>
                <w:rFonts w:cs="Times New Roman"/>
                <w:b/>
                <w:bCs/>
                <w:color w:val="000000"/>
                <w:szCs w:val="22"/>
                <w:lang w:eastAsia="it-IT" w:bidi="ar-SA"/>
              </w:rPr>
              <w:lastRenderedPageBreak/>
              <w:t> </w:t>
            </w:r>
          </w:p>
        </w:tc>
        <w:tc>
          <w:tcPr>
            <w:tcW w:w="1380" w:type="dxa"/>
            <w:tcBorders>
              <w:top w:val="nil"/>
              <w:left w:val="nil"/>
              <w:bottom w:val="single" w:sz="4" w:space="0" w:color="auto"/>
              <w:right w:val="single" w:sz="4" w:space="0" w:color="auto"/>
            </w:tcBorders>
            <w:shd w:val="clear" w:color="auto" w:fill="auto"/>
            <w:vAlign w:val="bottom"/>
          </w:tcPr>
          <w:p w14:paraId="336C6A0B" w14:textId="77777777" w:rsidR="00E27519" w:rsidRDefault="0003178C">
            <w:pPr>
              <w:suppressAutoHyphens w:val="0"/>
              <w:spacing w:before="0"/>
              <w:rPr>
                <w:rFonts w:cs="Times New Roman"/>
                <w:b/>
                <w:bCs/>
                <w:color w:val="000000"/>
                <w:szCs w:val="22"/>
                <w:lang w:eastAsia="it-IT" w:bidi="ar-SA"/>
              </w:rPr>
            </w:pPr>
            <w:r>
              <w:rPr>
                <w:rFonts w:cs="Times New Roman"/>
                <w:b/>
                <w:bCs/>
                <w:color w:val="000000"/>
                <w:szCs w:val="22"/>
                <w:lang w:eastAsia="it-IT" w:bidi="ar-SA"/>
              </w:rPr>
              <w:t> </w:t>
            </w:r>
          </w:p>
        </w:tc>
        <w:tc>
          <w:tcPr>
            <w:tcW w:w="1380" w:type="dxa"/>
            <w:tcBorders>
              <w:top w:val="nil"/>
              <w:left w:val="nil"/>
              <w:bottom w:val="single" w:sz="4" w:space="0" w:color="auto"/>
              <w:right w:val="single" w:sz="4" w:space="0" w:color="auto"/>
            </w:tcBorders>
            <w:shd w:val="clear" w:color="auto" w:fill="auto"/>
            <w:vAlign w:val="bottom"/>
          </w:tcPr>
          <w:p w14:paraId="612CF8FE" w14:textId="77777777" w:rsidR="00E27519" w:rsidRDefault="0003178C">
            <w:pPr>
              <w:suppressAutoHyphens w:val="0"/>
              <w:spacing w:before="0"/>
              <w:rPr>
                <w:rFonts w:cs="Times New Roman"/>
                <w:b/>
                <w:bCs/>
                <w:color w:val="000000"/>
                <w:szCs w:val="22"/>
                <w:lang w:eastAsia="it-IT" w:bidi="ar-SA"/>
              </w:rPr>
            </w:pPr>
            <w:r>
              <w:rPr>
                <w:rFonts w:cs="Times New Roman"/>
                <w:b/>
                <w:bCs/>
                <w:color w:val="000000"/>
                <w:szCs w:val="22"/>
                <w:lang w:eastAsia="it-IT" w:bidi="ar-SA"/>
              </w:rPr>
              <w:t> </w:t>
            </w:r>
          </w:p>
        </w:tc>
        <w:tc>
          <w:tcPr>
            <w:tcW w:w="1380" w:type="dxa"/>
            <w:tcBorders>
              <w:top w:val="nil"/>
              <w:left w:val="nil"/>
              <w:bottom w:val="single" w:sz="4" w:space="0" w:color="auto"/>
              <w:right w:val="single" w:sz="4" w:space="0" w:color="auto"/>
            </w:tcBorders>
            <w:shd w:val="clear" w:color="auto" w:fill="auto"/>
            <w:vAlign w:val="bottom"/>
          </w:tcPr>
          <w:p w14:paraId="15590FAD" w14:textId="77777777" w:rsidR="00E27519" w:rsidRDefault="0003178C">
            <w:pPr>
              <w:suppressAutoHyphens w:val="0"/>
              <w:spacing w:before="0"/>
              <w:rPr>
                <w:rFonts w:cs="Times New Roman"/>
                <w:b/>
                <w:bCs/>
                <w:color w:val="000000"/>
                <w:szCs w:val="22"/>
                <w:lang w:eastAsia="it-IT" w:bidi="ar-SA"/>
              </w:rPr>
            </w:pPr>
            <w:r>
              <w:rPr>
                <w:rFonts w:cs="Times New Roman"/>
                <w:b/>
                <w:bCs/>
                <w:color w:val="000000"/>
                <w:szCs w:val="22"/>
                <w:lang w:eastAsia="it-IT" w:bidi="ar-SA"/>
              </w:rPr>
              <w:t> </w:t>
            </w:r>
          </w:p>
        </w:tc>
      </w:tr>
      <w:tr w:rsidR="00E27519" w14:paraId="3C3F12ED" w14:textId="77777777">
        <w:trPr>
          <w:trHeight w:val="300"/>
          <w:jc w:val="center"/>
        </w:trPr>
        <w:tc>
          <w:tcPr>
            <w:tcW w:w="1380" w:type="dxa"/>
            <w:tcBorders>
              <w:top w:val="nil"/>
              <w:left w:val="single" w:sz="4" w:space="0" w:color="auto"/>
              <w:bottom w:val="single" w:sz="4" w:space="0" w:color="auto"/>
              <w:right w:val="single" w:sz="4" w:space="0" w:color="auto"/>
            </w:tcBorders>
            <w:shd w:val="clear" w:color="000000" w:fill="DCE6F1"/>
            <w:vAlign w:val="bottom"/>
          </w:tcPr>
          <w:p w14:paraId="6BB27CDA"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Colon Retto</w:t>
            </w:r>
          </w:p>
        </w:tc>
        <w:tc>
          <w:tcPr>
            <w:tcW w:w="1380" w:type="dxa"/>
            <w:tcBorders>
              <w:top w:val="nil"/>
              <w:left w:val="nil"/>
              <w:bottom w:val="single" w:sz="4" w:space="0" w:color="auto"/>
              <w:right w:val="single" w:sz="4" w:space="0" w:color="auto"/>
            </w:tcBorders>
            <w:shd w:val="clear" w:color="000000" w:fill="DCE6F1"/>
            <w:vAlign w:val="bottom"/>
          </w:tcPr>
          <w:p w14:paraId="396CA2DE"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Colon Retto</w:t>
            </w:r>
          </w:p>
        </w:tc>
        <w:tc>
          <w:tcPr>
            <w:tcW w:w="1380" w:type="dxa"/>
            <w:tcBorders>
              <w:top w:val="nil"/>
              <w:left w:val="nil"/>
              <w:bottom w:val="single" w:sz="4" w:space="0" w:color="auto"/>
              <w:right w:val="single" w:sz="4" w:space="0" w:color="auto"/>
            </w:tcBorders>
            <w:shd w:val="clear" w:color="000000" w:fill="DCE6F1"/>
            <w:vAlign w:val="bottom"/>
          </w:tcPr>
          <w:p w14:paraId="17B0F93D"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Colon Retto</w:t>
            </w:r>
          </w:p>
        </w:tc>
        <w:tc>
          <w:tcPr>
            <w:tcW w:w="1380" w:type="dxa"/>
            <w:tcBorders>
              <w:top w:val="nil"/>
              <w:left w:val="nil"/>
              <w:bottom w:val="single" w:sz="4" w:space="0" w:color="auto"/>
              <w:right w:val="single" w:sz="4" w:space="0" w:color="auto"/>
            </w:tcBorders>
            <w:shd w:val="clear" w:color="000000" w:fill="DCE6F1"/>
            <w:vAlign w:val="bottom"/>
          </w:tcPr>
          <w:p w14:paraId="7B5663C9"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Colon Retto</w:t>
            </w:r>
          </w:p>
        </w:tc>
      </w:tr>
      <w:tr w:rsidR="00E27519" w14:paraId="20E39B22" w14:textId="77777777">
        <w:trPr>
          <w:trHeight w:val="300"/>
          <w:jc w:val="center"/>
        </w:trPr>
        <w:tc>
          <w:tcPr>
            <w:tcW w:w="1380" w:type="dxa"/>
            <w:tcBorders>
              <w:top w:val="nil"/>
              <w:left w:val="single" w:sz="4" w:space="0" w:color="auto"/>
              <w:bottom w:val="single" w:sz="4" w:space="0" w:color="auto"/>
              <w:right w:val="single" w:sz="4" w:space="0" w:color="auto"/>
            </w:tcBorders>
            <w:shd w:val="clear" w:color="auto" w:fill="auto"/>
            <w:vAlign w:val="bottom"/>
          </w:tcPr>
          <w:p w14:paraId="5AC5E025"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Esofago</w:t>
            </w:r>
          </w:p>
        </w:tc>
        <w:tc>
          <w:tcPr>
            <w:tcW w:w="1380" w:type="dxa"/>
            <w:tcBorders>
              <w:top w:val="nil"/>
              <w:left w:val="nil"/>
              <w:bottom w:val="single" w:sz="4" w:space="0" w:color="auto"/>
              <w:right w:val="single" w:sz="4" w:space="0" w:color="auto"/>
            </w:tcBorders>
            <w:shd w:val="clear" w:color="auto" w:fill="auto"/>
            <w:vAlign w:val="bottom"/>
          </w:tcPr>
          <w:p w14:paraId="7434C14E"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Esofago</w:t>
            </w:r>
          </w:p>
        </w:tc>
        <w:tc>
          <w:tcPr>
            <w:tcW w:w="1380" w:type="dxa"/>
            <w:tcBorders>
              <w:top w:val="nil"/>
              <w:left w:val="nil"/>
              <w:bottom w:val="single" w:sz="4" w:space="0" w:color="auto"/>
              <w:right w:val="single" w:sz="4" w:space="0" w:color="auto"/>
            </w:tcBorders>
            <w:shd w:val="clear" w:color="auto" w:fill="auto"/>
            <w:vAlign w:val="bottom"/>
          </w:tcPr>
          <w:p w14:paraId="26E8D3AF"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w:t>
            </w:r>
          </w:p>
        </w:tc>
        <w:tc>
          <w:tcPr>
            <w:tcW w:w="1380" w:type="dxa"/>
            <w:tcBorders>
              <w:top w:val="nil"/>
              <w:left w:val="nil"/>
              <w:bottom w:val="single" w:sz="4" w:space="0" w:color="auto"/>
              <w:right w:val="single" w:sz="4" w:space="0" w:color="auto"/>
            </w:tcBorders>
            <w:shd w:val="clear" w:color="auto" w:fill="auto"/>
            <w:vAlign w:val="bottom"/>
          </w:tcPr>
          <w:p w14:paraId="4D0DAE46"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 </w:t>
            </w:r>
          </w:p>
        </w:tc>
      </w:tr>
      <w:tr w:rsidR="00E27519" w14:paraId="4790C393" w14:textId="77777777">
        <w:trPr>
          <w:trHeight w:val="300"/>
          <w:jc w:val="center"/>
        </w:trPr>
        <w:tc>
          <w:tcPr>
            <w:tcW w:w="1380" w:type="dxa"/>
            <w:tcBorders>
              <w:top w:val="nil"/>
              <w:left w:val="single" w:sz="4" w:space="0" w:color="auto"/>
              <w:bottom w:val="single" w:sz="4" w:space="0" w:color="auto"/>
              <w:right w:val="single" w:sz="4" w:space="0" w:color="auto"/>
            </w:tcBorders>
            <w:shd w:val="clear" w:color="000000" w:fill="DCE6F1"/>
            <w:vAlign w:val="bottom"/>
          </w:tcPr>
          <w:p w14:paraId="56C329D0"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Stomaco</w:t>
            </w:r>
          </w:p>
        </w:tc>
        <w:tc>
          <w:tcPr>
            <w:tcW w:w="1380" w:type="dxa"/>
            <w:tcBorders>
              <w:top w:val="nil"/>
              <w:left w:val="nil"/>
              <w:bottom w:val="single" w:sz="4" w:space="0" w:color="auto"/>
              <w:right w:val="single" w:sz="4" w:space="0" w:color="auto"/>
            </w:tcBorders>
            <w:shd w:val="clear" w:color="000000" w:fill="DCE6F1"/>
            <w:vAlign w:val="bottom"/>
          </w:tcPr>
          <w:p w14:paraId="1827EED3"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Stomaco</w:t>
            </w:r>
          </w:p>
        </w:tc>
        <w:tc>
          <w:tcPr>
            <w:tcW w:w="1380" w:type="dxa"/>
            <w:tcBorders>
              <w:top w:val="nil"/>
              <w:left w:val="nil"/>
              <w:bottom w:val="single" w:sz="4" w:space="0" w:color="auto"/>
              <w:right w:val="single" w:sz="4" w:space="0" w:color="auto"/>
            </w:tcBorders>
            <w:shd w:val="clear" w:color="000000" w:fill="DCE6F1"/>
            <w:vAlign w:val="bottom"/>
          </w:tcPr>
          <w:p w14:paraId="4F01DB76"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w:t>
            </w:r>
          </w:p>
        </w:tc>
        <w:tc>
          <w:tcPr>
            <w:tcW w:w="1380" w:type="dxa"/>
            <w:tcBorders>
              <w:top w:val="nil"/>
              <w:left w:val="nil"/>
              <w:bottom w:val="single" w:sz="4" w:space="0" w:color="auto"/>
              <w:right w:val="single" w:sz="4" w:space="0" w:color="auto"/>
            </w:tcBorders>
            <w:shd w:val="clear" w:color="000000" w:fill="DCE6F1"/>
            <w:vAlign w:val="bottom"/>
          </w:tcPr>
          <w:p w14:paraId="154D0A4C"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 </w:t>
            </w:r>
          </w:p>
        </w:tc>
      </w:tr>
      <w:tr w:rsidR="00E27519" w14:paraId="61240D46" w14:textId="77777777">
        <w:trPr>
          <w:trHeight w:val="300"/>
          <w:jc w:val="center"/>
        </w:trPr>
        <w:tc>
          <w:tcPr>
            <w:tcW w:w="1380" w:type="dxa"/>
            <w:tcBorders>
              <w:top w:val="nil"/>
              <w:left w:val="single" w:sz="4" w:space="0" w:color="auto"/>
              <w:bottom w:val="single" w:sz="4" w:space="0" w:color="auto"/>
              <w:right w:val="single" w:sz="4" w:space="0" w:color="auto"/>
            </w:tcBorders>
            <w:shd w:val="clear" w:color="auto" w:fill="auto"/>
            <w:vAlign w:val="bottom"/>
          </w:tcPr>
          <w:p w14:paraId="17ABC090"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Pancreas</w:t>
            </w:r>
          </w:p>
        </w:tc>
        <w:tc>
          <w:tcPr>
            <w:tcW w:w="1380" w:type="dxa"/>
            <w:tcBorders>
              <w:top w:val="nil"/>
              <w:left w:val="nil"/>
              <w:bottom w:val="single" w:sz="4" w:space="0" w:color="auto"/>
              <w:right w:val="single" w:sz="4" w:space="0" w:color="auto"/>
            </w:tcBorders>
            <w:shd w:val="clear" w:color="auto" w:fill="auto"/>
            <w:vAlign w:val="bottom"/>
          </w:tcPr>
          <w:p w14:paraId="330705D7"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Pancreas</w:t>
            </w:r>
          </w:p>
        </w:tc>
        <w:tc>
          <w:tcPr>
            <w:tcW w:w="1380" w:type="dxa"/>
            <w:tcBorders>
              <w:top w:val="nil"/>
              <w:left w:val="nil"/>
              <w:bottom w:val="single" w:sz="4" w:space="0" w:color="auto"/>
              <w:right w:val="single" w:sz="4" w:space="0" w:color="auto"/>
            </w:tcBorders>
            <w:shd w:val="clear" w:color="auto" w:fill="auto"/>
            <w:vAlign w:val="bottom"/>
          </w:tcPr>
          <w:p w14:paraId="2F77E56B"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w:t>
            </w:r>
          </w:p>
        </w:tc>
        <w:tc>
          <w:tcPr>
            <w:tcW w:w="1380" w:type="dxa"/>
            <w:tcBorders>
              <w:top w:val="nil"/>
              <w:left w:val="nil"/>
              <w:bottom w:val="single" w:sz="4" w:space="0" w:color="auto"/>
              <w:right w:val="single" w:sz="4" w:space="0" w:color="auto"/>
            </w:tcBorders>
            <w:shd w:val="clear" w:color="auto" w:fill="auto"/>
            <w:vAlign w:val="bottom"/>
          </w:tcPr>
          <w:p w14:paraId="25A90B52"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 </w:t>
            </w:r>
          </w:p>
        </w:tc>
      </w:tr>
      <w:tr w:rsidR="00E27519" w14:paraId="25D6A398" w14:textId="77777777">
        <w:trPr>
          <w:trHeight w:val="300"/>
          <w:jc w:val="center"/>
        </w:trPr>
        <w:tc>
          <w:tcPr>
            <w:tcW w:w="1380" w:type="dxa"/>
            <w:tcBorders>
              <w:top w:val="nil"/>
              <w:left w:val="single" w:sz="4" w:space="0" w:color="auto"/>
              <w:bottom w:val="single" w:sz="4" w:space="0" w:color="auto"/>
              <w:right w:val="single" w:sz="4" w:space="0" w:color="auto"/>
            </w:tcBorders>
            <w:shd w:val="clear" w:color="000000" w:fill="DCE6F1"/>
            <w:vAlign w:val="bottom"/>
          </w:tcPr>
          <w:p w14:paraId="3F1E1105"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w:t>
            </w:r>
          </w:p>
        </w:tc>
        <w:tc>
          <w:tcPr>
            <w:tcW w:w="1380" w:type="dxa"/>
            <w:tcBorders>
              <w:top w:val="nil"/>
              <w:left w:val="nil"/>
              <w:bottom w:val="single" w:sz="4" w:space="0" w:color="auto"/>
              <w:right w:val="single" w:sz="4" w:space="0" w:color="auto"/>
            </w:tcBorders>
            <w:shd w:val="clear" w:color="000000" w:fill="DCE6F1"/>
            <w:vAlign w:val="bottom"/>
          </w:tcPr>
          <w:p w14:paraId="7F7FB771"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Mammella</w:t>
            </w:r>
          </w:p>
        </w:tc>
        <w:tc>
          <w:tcPr>
            <w:tcW w:w="1380" w:type="dxa"/>
            <w:tcBorders>
              <w:top w:val="nil"/>
              <w:left w:val="nil"/>
              <w:bottom w:val="single" w:sz="4" w:space="0" w:color="auto"/>
              <w:right w:val="single" w:sz="4" w:space="0" w:color="auto"/>
            </w:tcBorders>
            <w:shd w:val="clear" w:color="000000" w:fill="DCE6F1"/>
            <w:vAlign w:val="bottom"/>
          </w:tcPr>
          <w:p w14:paraId="61AD66F4"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Mammella</w:t>
            </w:r>
          </w:p>
        </w:tc>
        <w:tc>
          <w:tcPr>
            <w:tcW w:w="1380" w:type="dxa"/>
            <w:tcBorders>
              <w:top w:val="nil"/>
              <w:left w:val="nil"/>
              <w:bottom w:val="single" w:sz="4" w:space="0" w:color="auto"/>
              <w:right w:val="single" w:sz="4" w:space="0" w:color="auto"/>
            </w:tcBorders>
            <w:shd w:val="clear" w:color="000000" w:fill="DCE6F1"/>
            <w:vAlign w:val="bottom"/>
          </w:tcPr>
          <w:p w14:paraId="5453970D"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 </w:t>
            </w:r>
          </w:p>
        </w:tc>
      </w:tr>
      <w:tr w:rsidR="00E27519" w14:paraId="7ED6FB6C" w14:textId="77777777">
        <w:trPr>
          <w:trHeight w:val="300"/>
          <w:jc w:val="center"/>
        </w:trPr>
        <w:tc>
          <w:tcPr>
            <w:tcW w:w="1380" w:type="dxa"/>
            <w:tcBorders>
              <w:top w:val="nil"/>
              <w:left w:val="single" w:sz="4" w:space="0" w:color="auto"/>
              <w:bottom w:val="single" w:sz="4" w:space="0" w:color="auto"/>
              <w:right w:val="single" w:sz="4" w:space="0" w:color="auto"/>
            </w:tcBorders>
            <w:shd w:val="clear" w:color="auto" w:fill="auto"/>
            <w:vAlign w:val="bottom"/>
          </w:tcPr>
          <w:p w14:paraId="364EB7D7"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w:t>
            </w:r>
          </w:p>
        </w:tc>
        <w:tc>
          <w:tcPr>
            <w:tcW w:w="1380" w:type="dxa"/>
            <w:tcBorders>
              <w:top w:val="nil"/>
              <w:left w:val="nil"/>
              <w:bottom w:val="single" w:sz="4" w:space="0" w:color="auto"/>
              <w:right w:val="single" w:sz="4" w:space="0" w:color="auto"/>
            </w:tcBorders>
            <w:shd w:val="clear" w:color="auto" w:fill="auto"/>
            <w:vAlign w:val="bottom"/>
          </w:tcPr>
          <w:p w14:paraId="04EF80BC"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K Polmone</w:t>
            </w:r>
          </w:p>
        </w:tc>
        <w:tc>
          <w:tcPr>
            <w:tcW w:w="1380" w:type="dxa"/>
            <w:tcBorders>
              <w:top w:val="nil"/>
              <w:left w:val="nil"/>
              <w:bottom w:val="single" w:sz="4" w:space="0" w:color="auto"/>
              <w:right w:val="single" w:sz="4" w:space="0" w:color="auto"/>
            </w:tcBorders>
            <w:shd w:val="clear" w:color="auto" w:fill="auto"/>
            <w:vAlign w:val="bottom"/>
          </w:tcPr>
          <w:p w14:paraId="732A66AA"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w:t>
            </w:r>
          </w:p>
        </w:tc>
        <w:tc>
          <w:tcPr>
            <w:tcW w:w="1380" w:type="dxa"/>
            <w:tcBorders>
              <w:top w:val="nil"/>
              <w:left w:val="nil"/>
              <w:bottom w:val="single" w:sz="4" w:space="0" w:color="auto"/>
              <w:right w:val="single" w:sz="4" w:space="0" w:color="auto"/>
            </w:tcBorders>
            <w:shd w:val="clear" w:color="auto" w:fill="auto"/>
            <w:vAlign w:val="bottom"/>
          </w:tcPr>
          <w:p w14:paraId="3CB174B4"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 </w:t>
            </w:r>
          </w:p>
        </w:tc>
      </w:tr>
      <w:tr w:rsidR="00E27519" w14:paraId="09FF6DCC" w14:textId="77777777">
        <w:trPr>
          <w:trHeight w:val="300"/>
          <w:jc w:val="center"/>
        </w:trPr>
        <w:tc>
          <w:tcPr>
            <w:tcW w:w="1380" w:type="dxa"/>
            <w:tcBorders>
              <w:top w:val="nil"/>
              <w:left w:val="single" w:sz="4" w:space="0" w:color="auto"/>
              <w:bottom w:val="single" w:sz="4" w:space="0" w:color="auto"/>
              <w:right w:val="single" w:sz="4" w:space="0" w:color="auto"/>
            </w:tcBorders>
            <w:shd w:val="clear" w:color="000000" w:fill="DCE6F1"/>
            <w:vAlign w:val="bottom"/>
          </w:tcPr>
          <w:p w14:paraId="18785CDE"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w:t>
            </w:r>
          </w:p>
        </w:tc>
        <w:tc>
          <w:tcPr>
            <w:tcW w:w="1380" w:type="dxa"/>
            <w:tcBorders>
              <w:top w:val="nil"/>
              <w:left w:val="nil"/>
              <w:bottom w:val="single" w:sz="4" w:space="0" w:color="auto"/>
              <w:right w:val="single" w:sz="4" w:space="0" w:color="auto"/>
            </w:tcBorders>
            <w:shd w:val="clear" w:color="000000" w:fill="DCE6F1"/>
            <w:vAlign w:val="bottom"/>
          </w:tcPr>
          <w:p w14:paraId="5C8F6339"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w:t>
            </w:r>
          </w:p>
        </w:tc>
        <w:tc>
          <w:tcPr>
            <w:tcW w:w="1380" w:type="dxa"/>
            <w:tcBorders>
              <w:top w:val="nil"/>
              <w:left w:val="nil"/>
              <w:bottom w:val="single" w:sz="4" w:space="0" w:color="auto"/>
              <w:right w:val="single" w:sz="4" w:space="0" w:color="auto"/>
            </w:tcBorders>
            <w:shd w:val="clear" w:color="000000" w:fill="DCE6F1"/>
            <w:vAlign w:val="bottom"/>
          </w:tcPr>
          <w:p w14:paraId="03DE72DA"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Prostata</w:t>
            </w:r>
          </w:p>
        </w:tc>
        <w:tc>
          <w:tcPr>
            <w:tcW w:w="1380" w:type="dxa"/>
            <w:tcBorders>
              <w:top w:val="nil"/>
              <w:left w:val="nil"/>
              <w:bottom w:val="single" w:sz="4" w:space="0" w:color="auto"/>
              <w:right w:val="single" w:sz="4" w:space="0" w:color="auto"/>
            </w:tcBorders>
            <w:shd w:val="clear" w:color="000000" w:fill="DCE6F1"/>
            <w:vAlign w:val="bottom"/>
          </w:tcPr>
          <w:p w14:paraId="07E8D351" w14:textId="77777777" w:rsidR="00E27519" w:rsidRDefault="0003178C">
            <w:pPr>
              <w:suppressAutoHyphens w:val="0"/>
              <w:spacing w:before="0"/>
              <w:jc w:val="center"/>
              <w:rPr>
                <w:rFonts w:cs="Times New Roman"/>
                <w:color w:val="000000"/>
                <w:szCs w:val="22"/>
                <w:lang w:eastAsia="it-IT" w:bidi="ar-SA"/>
              </w:rPr>
            </w:pPr>
            <w:r>
              <w:rPr>
                <w:rFonts w:cs="Times New Roman"/>
                <w:color w:val="000000"/>
                <w:szCs w:val="22"/>
                <w:lang w:eastAsia="it-IT" w:bidi="ar-SA"/>
              </w:rPr>
              <w:t>Prostata</w:t>
            </w:r>
          </w:p>
        </w:tc>
      </w:tr>
    </w:tbl>
    <w:p w14:paraId="2723D466" w14:textId="77777777" w:rsidR="00E27519" w:rsidRDefault="00E27519">
      <w:pPr>
        <w:spacing w:before="0"/>
        <w:jc w:val="both"/>
        <w:rPr>
          <w:rFonts w:eastAsia="Calibri"/>
          <w:szCs w:val="22"/>
          <w:lang w:eastAsia="en-US"/>
        </w:rPr>
      </w:pPr>
    </w:p>
    <w:p w14:paraId="249803C1" w14:textId="77777777" w:rsidR="00E27519" w:rsidRDefault="00E27519">
      <w:pPr>
        <w:spacing w:before="0"/>
        <w:jc w:val="both"/>
        <w:rPr>
          <w:rFonts w:eastAsia="Calibri"/>
          <w:sz w:val="20"/>
          <w:szCs w:val="22"/>
          <w:lang w:eastAsia="en-US"/>
        </w:rPr>
      </w:pPr>
    </w:p>
    <w:p w14:paraId="76D4CD84" w14:textId="77777777" w:rsidR="00E27519" w:rsidRDefault="0003178C">
      <w:pPr>
        <w:spacing w:before="0"/>
        <w:jc w:val="both"/>
        <w:rPr>
          <w:rFonts w:eastAsia="Calibri"/>
          <w:sz w:val="20"/>
          <w:szCs w:val="22"/>
          <w:lang w:eastAsia="en-US"/>
        </w:rPr>
      </w:pPr>
      <w:r>
        <w:rPr>
          <w:rFonts w:eastAsia="Calibri"/>
          <w:sz w:val="20"/>
          <w:szCs w:val="22"/>
          <w:lang w:eastAsia="en-US"/>
        </w:rPr>
        <w:t>Il riordino del sistema produttivo sviluppato in accordo con i principi dell’</w:t>
      </w:r>
      <w:proofErr w:type="spellStart"/>
      <w:r>
        <w:rPr>
          <w:rFonts w:eastAsia="Calibri"/>
          <w:sz w:val="20"/>
          <w:szCs w:val="22"/>
          <w:lang w:eastAsia="en-US"/>
        </w:rPr>
        <w:t>Hub</w:t>
      </w:r>
      <w:proofErr w:type="spellEnd"/>
      <w:r>
        <w:rPr>
          <w:rFonts w:eastAsia="Calibri"/>
          <w:sz w:val="20"/>
          <w:szCs w:val="22"/>
          <w:lang w:eastAsia="en-US"/>
        </w:rPr>
        <w:t xml:space="preserve"> e </w:t>
      </w:r>
      <w:proofErr w:type="spellStart"/>
      <w:r>
        <w:rPr>
          <w:rFonts w:eastAsia="Calibri"/>
          <w:sz w:val="20"/>
          <w:szCs w:val="22"/>
          <w:lang w:eastAsia="en-US"/>
        </w:rPr>
        <w:t>Spoke</w:t>
      </w:r>
      <w:proofErr w:type="spellEnd"/>
      <w:r>
        <w:rPr>
          <w:rFonts w:eastAsia="Calibri"/>
          <w:sz w:val="20"/>
          <w:szCs w:val="22"/>
          <w:lang w:eastAsia="en-US"/>
        </w:rPr>
        <w:t xml:space="preserve"> e volumi/esiti, ha inoltre comportato da un lato la concentrazione della chirurgia a maggior complessità presso il Policlinico, Carpi e Sassuolo, strutture dotate della competenze professionali e delle tecnologie appropriate e, dall’altro, che la casistica a più ampia diffusione e minor complessità fosse indirizzata secondo il principio della vocazione anche agli Ospedali periferici. In tal senso, è stato già in parte avviato il processo di identificazione delle vocazioni (mission) di struttura che vedranno alcuni ospedali della rete specializzarsi per interventi specifici (“</w:t>
      </w:r>
      <w:proofErr w:type="spellStart"/>
      <w:r>
        <w:rPr>
          <w:rFonts w:eastAsia="Calibri"/>
          <w:sz w:val="20"/>
          <w:szCs w:val="22"/>
          <w:lang w:eastAsia="en-US"/>
        </w:rPr>
        <w:t>factory</w:t>
      </w:r>
      <w:proofErr w:type="spellEnd"/>
      <w:r>
        <w:rPr>
          <w:rFonts w:eastAsia="Calibri"/>
          <w:sz w:val="20"/>
          <w:szCs w:val="22"/>
          <w:lang w:eastAsia="en-US"/>
        </w:rPr>
        <w:t xml:space="preserve">”) quali chirurgia di parete (ernie) colecisti, proctologia,  protesi di anca e ginocchio, interventi sulla spalla o il ginocchio, organizzate anche in relazione alla specialistica o di tipologia di intervento e alla complessità/durata della degenza in </w:t>
      </w:r>
      <w:proofErr w:type="spellStart"/>
      <w:r>
        <w:rPr>
          <w:rFonts w:eastAsia="Calibri"/>
          <w:sz w:val="20"/>
          <w:szCs w:val="22"/>
          <w:lang w:eastAsia="en-US"/>
        </w:rPr>
        <w:t>day</w:t>
      </w:r>
      <w:proofErr w:type="spellEnd"/>
      <w:r>
        <w:rPr>
          <w:rFonts w:eastAsia="Calibri"/>
          <w:sz w:val="20"/>
          <w:szCs w:val="22"/>
          <w:lang w:eastAsia="en-US"/>
        </w:rPr>
        <w:t xml:space="preserve"> hospital/</w:t>
      </w:r>
      <w:proofErr w:type="spellStart"/>
      <w:r>
        <w:rPr>
          <w:rFonts w:eastAsia="Calibri"/>
          <w:sz w:val="20"/>
          <w:szCs w:val="22"/>
          <w:lang w:eastAsia="en-US"/>
        </w:rPr>
        <w:t>day</w:t>
      </w:r>
      <w:proofErr w:type="spellEnd"/>
      <w:r>
        <w:rPr>
          <w:rFonts w:eastAsia="Calibri"/>
          <w:sz w:val="20"/>
          <w:szCs w:val="22"/>
          <w:lang w:eastAsia="en-US"/>
        </w:rPr>
        <w:t xml:space="preserve"> </w:t>
      </w:r>
      <w:proofErr w:type="spellStart"/>
      <w:r>
        <w:rPr>
          <w:rFonts w:eastAsia="Calibri"/>
          <w:sz w:val="20"/>
          <w:szCs w:val="22"/>
          <w:lang w:eastAsia="en-US"/>
        </w:rPr>
        <w:t>surgery</w:t>
      </w:r>
      <w:proofErr w:type="spellEnd"/>
      <w:r>
        <w:rPr>
          <w:rFonts w:eastAsia="Calibri"/>
          <w:sz w:val="20"/>
          <w:szCs w:val="22"/>
          <w:lang w:eastAsia="en-US"/>
        </w:rPr>
        <w:t xml:space="preserve"> nel caso di ricovero di un solo giorno e/o week-</w:t>
      </w:r>
      <w:proofErr w:type="spellStart"/>
      <w:r>
        <w:rPr>
          <w:rFonts w:eastAsia="Calibri"/>
          <w:sz w:val="20"/>
          <w:szCs w:val="22"/>
          <w:lang w:eastAsia="en-US"/>
        </w:rPr>
        <w:t>surgery</w:t>
      </w:r>
      <w:proofErr w:type="spellEnd"/>
      <w:r>
        <w:rPr>
          <w:rFonts w:eastAsia="Calibri"/>
          <w:sz w:val="20"/>
          <w:szCs w:val="22"/>
          <w:lang w:eastAsia="en-US"/>
        </w:rPr>
        <w:t xml:space="preserve"> nel caso la permanenza, pur brevi  comporti il soggiorno anche per una o più notti ma termini comunque entro il fine settimana. </w:t>
      </w:r>
    </w:p>
    <w:p w14:paraId="5CDD28F4" w14:textId="77777777" w:rsidR="00E27519" w:rsidRDefault="00E27519">
      <w:pPr>
        <w:spacing w:before="0"/>
        <w:jc w:val="both"/>
        <w:rPr>
          <w:rFonts w:eastAsia="Calibri"/>
          <w:sz w:val="20"/>
          <w:lang w:eastAsia="en-US"/>
        </w:rPr>
      </w:pPr>
    </w:p>
    <w:p w14:paraId="2B78F6FA" w14:textId="22EBBB86" w:rsidR="00E27519" w:rsidRDefault="0003178C">
      <w:pPr>
        <w:spacing w:before="0"/>
        <w:jc w:val="both"/>
        <w:rPr>
          <w:rFonts w:eastAsia="Calibri"/>
          <w:sz w:val="20"/>
          <w:lang w:eastAsia="en-US"/>
        </w:rPr>
      </w:pPr>
      <w:r>
        <w:rPr>
          <w:rFonts w:eastAsia="Calibri"/>
          <w:sz w:val="20"/>
          <w:lang w:eastAsia="en-US"/>
        </w:rPr>
        <w:t>Nel corso del 2016 è proseguita l’attività di razionalizzazione e revisione dell’allocazione delle attività nei diversi poli della rete</w:t>
      </w:r>
      <w:r w:rsidR="00315DEF">
        <w:rPr>
          <w:rFonts w:eastAsia="Calibri"/>
          <w:sz w:val="20"/>
          <w:lang w:eastAsia="en-US"/>
        </w:rPr>
        <w:t xml:space="preserve"> </w:t>
      </w:r>
      <w:r>
        <w:rPr>
          <w:rFonts w:eastAsia="Calibri"/>
          <w:sz w:val="20"/>
          <w:lang w:eastAsia="en-US"/>
        </w:rPr>
        <w:t>in relazione all’operazione di unificazione NOCSAE-Policlinico</w:t>
      </w:r>
      <w:r w:rsidR="00315DEF">
        <w:rPr>
          <w:rFonts w:eastAsia="Calibri"/>
          <w:sz w:val="20"/>
          <w:lang w:eastAsia="en-US"/>
        </w:rPr>
        <w:t>; il</w:t>
      </w:r>
      <w:r>
        <w:rPr>
          <w:rFonts w:eastAsia="Calibri"/>
          <w:sz w:val="20"/>
          <w:lang w:eastAsia="en-US"/>
        </w:rPr>
        <w:t xml:space="preserve"> DM70/2015 e </w:t>
      </w:r>
      <w:r w:rsidR="00315DEF">
        <w:rPr>
          <w:rFonts w:eastAsia="Calibri"/>
          <w:sz w:val="20"/>
          <w:lang w:eastAsia="en-US"/>
        </w:rPr>
        <w:t xml:space="preserve">la </w:t>
      </w:r>
      <w:r>
        <w:rPr>
          <w:rFonts w:eastAsia="Calibri"/>
          <w:sz w:val="20"/>
          <w:lang w:eastAsia="en-US"/>
        </w:rPr>
        <w:t>DGR 2040/2015 hanno completato gli  indirizzi per  il raggiungimento di obiettivi quantitativi minimi di volumi di attività per le U.O., per discipline e/o per interventi, e di raggiungimento di esiti target.</w:t>
      </w:r>
    </w:p>
    <w:p w14:paraId="4885D2BB" w14:textId="50F21B9C" w:rsidR="00315DEF" w:rsidRDefault="00315DEF">
      <w:pPr>
        <w:spacing w:before="0"/>
        <w:jc w:val="both"/>
        <w:rPr>
          <w:rFonts w:eastAsia="Calibri"/>
          <w:sz w:val="20"/>
          <w:lang w:eastAsia="en-US"/>
        </w:rPr>
      </w:pPr>
      <w:r>
        <w:rPr>
          <w:rFonts w:eastAsia="Calibri"/>
          <w:sz w:val="20"/>
          <w:lang w:eastAsia="en-US"/>
        </w:rPr>
        <w:t>Alcuni risultati di dettaglio riguardano:</w:t>
      </w:r>
    </w:p>
    <w:p w14:paraId="6C158FE3" w14:textId="77777777" w:rsidR="00E27519" w:rsidRPr="00315DEF" w:rsidRDefault="0003178C" w:rsidP="00315DEF">
      <w:pPr>
        <w:pStyle w:val="Paragrafoelenco"/>
        <w:numPr>
          <w:ilvl w:val="0"/>
          <w:numId w:val="32"/>
        </w:numPr>
        <w:spacing w:before="0"/>
        <w:jc w:val="both"/>
        <w:rPr>
          <w:rFonts w:eastAsia="Calibri"/>
          <w:sz w:val="20"/>
          <w:lang w:eastAsia="en-US"/>
        </w:rPr>
      </w:pPr>
      <w:r w:rsidRPr="00315DEF">
        <w:rPr>
          <w:rFonts w:eastAsia="Calibri"/>
          <w:sz w:val="20"/>
          <w:lang w:eastAsia="en-US"/>
        </w:rPr>
        <w:t>Rete IMA: importante incremento nel corso del 2016 del numero di PCTA al NOCSAE e numero di PCTA primarie per STEMI.  In miglioramento la percentuale di fast-</w:t>
      </w:r>
      <w:proofErr w:type="spellStart"/>
      <w:r w:rsidRPr="00315DEF">
        <w:rPr>
          <w:rFonts w:eastAsia="Calibri"/>
          <w:sz w:val="20"/>
          <w:lang w:eastAsia="en-US"/>
        </w:rPr>
        <w:t>track</w:t>
      </w:r>
      <w:proofErr w:type="spellEnd"/>
      <w:r w:rsidRPr="00315DEF">
        <w:rPr>
          <w:rFonts w:eastAsia="Calibri"/>
          <w:sz w:val="20"/>
          <w:lang w:eastAsia="en-US"/>
        </w:rPr>
        <w:t xml:space="preserve"> che nel corso del 2016 si è attestato al 52 %. Laboratori di Emodinamica = 75 % di cui almeno 45% di fast </w:t>
      </w:r>
      <w:proofErr w:type="spellStart"/>
      <w:r w:rsidRPr="00315DEF">
        <w:rPr>
          <w:rFonts w:eastAsia="Calibri"/>
          <w:sz w:val="20"/>
          <w:lang w:eastAsia="en-US"/>
        </w:rPr>
        <w:t>track</w:t>
      </w:r>
      <w:proofErr w:type="spellEnd"/>
      <w:r w:rsidRPr="00315DEF">
        <w:rPr>
          <w:rFonts w:eastAsia="Calibri"/>
          <w:sz w:val="20"/>
          <w:lang w:eastAsia="en-US"/>
        </w:rPr>
        <w:t xml:space="preserve">; primi 6 mesi 2016: fa con 75 PTCA primarie; proporzione di PTCA primaria = 65% fast </w:t>
      </w:r>
      <w:proofErr w:type="spellStart"/>
      <w:r w:rsidRPr="00315DEF">
        <w:rPr>
          <w:rFonts w:eastAsia="Calibri"/>
          <w:sz w:val="20"/>
          <w:lang w:eastAsia="en-US"/>
        </w:rPr>
        <w:t>track</w:t>
      </w:r>
      <w:proofErr w:type="spellEnd"/>
      <w:r w:rsidRPr="00315DEF">
        <w:rPr>
          <w:rFonts w:eastAsia="Calibri"/>
          <w:sz w:val="20"/>
          <w:lang w:eastAsia="en-US"/>
        </w:rPr>
        <w:t xml:space="preserve"> 50% e intero anno 2016 pari al 52%. PCTA (Volumi=250/anno): NOCSAE Anno 2016: 1.110 angioplastiche con 306 PTCA primarie; nel corso del 2016 gli infarti STEMI gestiti da strutture AUSL sono stati 784, e le PTCA primarie per STEMI sono state 255 (83% delle PTCA primarie con atteso &gt; 60%). Centralizzazione dell'Attività di Emodinamica, PTCA primaria per STEMI sul NOCSAE di Baggiovara, con conseguente integrazione delle Equipe di Emodinamica (Cod. AOU PO 111 e Cod. AUSL DS PO 024 “Percorso di invio del paziente in sicurezza dai Reparti o dal Pronto Soccorso del Policlinico in urgenza-emergenza verso l’Emodinamica del NOCSAE; Cod. AOU PO112; Cod. AUSL DS PO.025 “Percorso paziente STEMI o con SCA ad altissimo rischio con intervento 118 territoriale”). Tali protocolli sono stati definiti fra settembre 2015 e febbraio 2016.</w:t>
      </w:r>
    </w:p>
    <w:p w14:paraId="70F87342" w14:textId="4009A7DF" w:rsidR="00E27519" w:rsidRPr="00315DEF" w:rsidRDefault="0003178C" w:rsidP="00F87AC0">
      <w:pPr>
        <w:pStyle w:val="Paragrafoelenco"/>
        <w:numPr>
          <w:ilvl w:val="0"/>
          <w:numId w:val="32"/>
        </w:numPr>
        <w:spacing w:before="0"/>
        <w:jc w:val="both"/>
        <w:rPr>
          <w:rFonts w:eastAsia="Calibri"/>
          <w:sz w:val="20"/>
          <w:lang w:eastAsia="en-US"/>
        </w:rPr>
      </w:pPr>
      <w:r w:rsidRPr="00315DEF">
        <w:rPr>
          <w:rFonts w:eastAsia="Calibri"/>
          <w:sz w:val="20"/>
          <w:lang w:eastAsia="en-US"/>
        </w:rPr>
        <w:t>Rete Trauma: sensibilizzazione/ condivisione criteri di centralizzazione in particolare a livello Emergenza Urgenza territoriale.</w:t>
      </w:r>
      <w:r w:rsidR="00315DEF" w:rsidRPr="00315DEF">
        <w:rPr>
          <w:rFonts w:eastAsia="Calibri"/>
          <w:sz w:val="20"/>
          <w:lang w:eastAsia="en-US"/>
        </w:rPr>
        <w:t xml:space="preserve"> </w:t>
      </w:r>
      <w:r w:rsidRPr="00315DEF">
        <w:rPr>
          <w:rFonts w:eastAsia="Calibri"/>
          <w:sz w:val="20"/>
          <w:lang w:eastAsia="en-US"/>
        </w:rPr>
        <w:t xml:space="preserve">RETE TRAUMA </w:t>
      </w:r>
      <w:proofErr w:type="spellStart"/>
      <w:r w:rsidRPr="00315DEF">
        <w:rPr>
          <w:rFonts w:eastAsia="Calibri"/>
          <w:sz w:val="20"/>
          <w:lang w:eastAsia="en-US"/>
        </w:rPr>
        <w:t>Trauma</w:t>
      </w:r>
      <w:proofErr w:type="spellEnd"/>
      <w:r w:rsidRPr="00315DEF">
        <w:rPr>
          <w:rFonts w:eastAsia="Calibri"/>
          <w:sz w:val="20"/>
          <w:lang w:eastAsia="en-US"/>
        </w:rPr>
        <w:t xml:space="preserve"> Center = 240 traumi gravi/anno. NOCSAE anno 2015 è stato attivato 480 volte il trauma team mentre nel 2016 le attivazioni sono state 527 (+ 9,8 %). Rete Trauma grave: è stato effettuato un audit a dicembre 2015 sui dati relativi ai ricoveri per trauma anno 2013 (anno di aggiornamento Registro Regionale Trauma Grave): risultato significativo un de triage 6,78% (indicatore &lt;5%), con trasporti effettuati con ambulanze </w:t>
      </w:r>
      <w:r w:rsidRPr="00315DEF">
        <w:rPr>
          <w:rFonts w:eastAsia="Calibri"/>
          <w:sz w:val="20"/>
          <w:lang w:eastAsia="en-US"/>
        </w:rPr>
        <w:lastRenderedPageBreak/>
        <w:t xml:space="preserve">con volontario.  </w:t>
      </w:r>
      <w:r w:rsidR="00315DEF" w:rsidRPr="00315DEF">
        <w:rPr>
          <w:rFonts w:eastAsia="Calibri"/>
          <w:sz w:val="20"/>
          <w:lang w:eastAsia="en-US"/>
        </w:rPr>
        <w:t>È</w:t>
      </w:r>
      <w:r w:rsidRPr="00315DEF">
        <w:rPr>
          <w:rFonts w:eastAsia="Calibri"/>
          <w:sz w:val="20"/>
          <w:lang w:eastAsia="en-US"/>
        </w:rPr>
        <w:t xml:space="preserve"> in corso la revisione della procedura di centralizzazione su HUB-NOCSAE; rinforzo al personale del 118 dei criteri di centralizzazione.</w:t>
      </w:r>
    </w:p>
    <w:p w14:paraId="45DC8DF5" w14:textId="77777777" w:rsidR="00E27519" w:rsidRPr="00315DEF" w:rsidRDefault="0003178C" w:rsidP="00315DEF">
      <w:pPr>
        <w:pStyle w:val="Paragrafoelenco"/>
        <w:numPr>
          <w:ilvl w:val="0"/>
          <w:numId w:val="32"/>
        </w:numPr>
        <w:spacing w:before="0"/>
        <w:jc w:val="both"/>
        <w:rPr>
          <w:rFonts w:asciiTheme="minorHAnsi" w:eastAsia="Calibri" w:hAnsiTheme="minorHAnsi"/>
          <w:sz w:val="20"/>
          <w:lang w:eastAsia="en-US"/>
        </w:rPr>
      </w:pPr>
      <w:r w:rsidRPr="00315DEF">
        <w:rPr>
          <w:rFonts w:asciiTheme="minorHAnsi" w:eastAsia="Calibri" w:hAnsiTheme="minorHAnsi"/>
          <w:sz w:val="20"/>
          <w:lang w:eastAsia="en-US"/>
        </w:rPr>
        <w:t xml:space="preserve">RETE STROKE Nel 2016 la centralizzazione su </w:t>
      </w:r>
      <w:proofErr w:type="spellStart"/>
      <w:r w:rsidRPr="00315DEF">
        <w:rPr>
          <w:rFonts w:asciiTheme="minorHAnsi" w:eastAsia="Calibri" w:hAnsiTheme="minorHAnsi"/>
          <w:sz w:val="20"/>
          <w:lang w:eastAsia="en-US"/>
        </w:rPr>
        <w:t>stroke</w:t>
      </w:r>
      <w:proofErr w:type="spellEnd"/>
      <w:r w:rsidRPr="00315DEF">
        <w:rPr>
          <w:rFonts w:asciiTheme="minorHAnsi" w:eastAsia="Calibri" w:hAnsiTheme="minorHAnsi"/>
          <w:sz w:val="20"/>
          <w:lang w:eastAsia="en-US"/>
        </w:rPr>
        <w:t xml:space="preserve"> </w:t>
      </w:r>
      <w:proofErr w:type="spellStart"/>
      <w:r w:rsidRPr="00315DEF">
        <w:rPr>
          <w:rFonts w:asciiTheme="minorHAnsi" w:eastAsia="Calibri" w:hAnsiTheme="minorHAnsi"/>
          <w:sz w:val="20"/>
          <w:lang w:eastAsia="en-US"/>
        </w:rPr>
        <w:t>unit</w:t>
      </w:r>
      <w:proofErr w:type="spellEnd"/>
      <w:r w:rsidRPr="00315DEF">
        <w:rPr>
          <w:rFonts w:asciiTheme="minorHAnsi" w:eastAsia="Calibri" w:hAnsiTheme="minorHAnsi"/>
          <w:sz w:val="20"/>
          <w:lang w:eastAsia="en-US"/>
        </w:rPr>
        <w:t xml:space="preserve"> degli ictus ha raggiunto il 65%; Nell'anno 2016 le </w:t>
      </w:r>
      <w:proofErr w:type="spellStart"/>
      <w:r w:rsidRPr="00315DEF">
        <w:rPr>
          <w:rFonts w:asciiTheme="minorHAnsi" w:eastAsia="Calibri" w:hAnsiTheme="minorHAnsi"/>
          <w:sz w:val="20"/>
          <w:lang w:eastAsia="en-US"/>
        </w:rPr>
        <w:t>trombolisi</w:t>
      </w:r>
      <w:proofErr w:type="spellEnd"/>
      <w:r w:rsidRPr="00315DEF">
        <w:rPr>
          <w:rFonts w:asciiTheme="minorHAnsi" w:eastAsia="Calibri" w:hAnsiTheme="minorHAnsi"/>
          <w:sz w:val="20"/>
          <w:lang w:eastAsia="en-US"/>
        </w:rPr>
        <w:t xml:space="preserve"> intravenose sono state 177, ovvero il 15,5 % del totale degli ictus della provincia, (dato in linea con l'anno precedente); nel 2016 i trattamenti IA sono stati 76, anche in questo caso il dato è in linea con l'anno precedente. </w:t>
      </w:r>
    </w:p>
    <w:p w14:paraId="393EC785" w14:textId="77777777" w:rsidR="00E27519" w:rsidRDefault="00E27519">
      <w:pPr>
        <w:spacing w:before="0"/>
        <w:jc w:val="both"/>
        <w:rPr>
          <w:rFonts w:asciiTheme="minorHAnsi" w:eastAsia="Calibri" w:hAnsiTheme="minorHAnsi"/>
          <w:sz w:val="20"/>
          <w:lang w:eastAsia="en-US"/>
        </w:rPr>
      </w:pPr>
    </w:p>
    <w:p w14:paraId="38791927" w14:textId="77777777" w:rsidR="00E27519" w:rsidRDefault="0003178C">
      <w:pPr>
        <w:spacing w:before="0"/>
        <w:jc w:val="both"/>
        <w:rPr>
          <w:rFonts w:eastAsia="Calibri"/>
          <w:sz w:val="20"/>
          <w:lang w:eastAsia="en-US"/>
        </w:rPr>
      </w:pPr>
      <w:r>
        <w:rPr>
          <w:rFonts w:eastAsia="Calibri"/>
          <w:sz w:val="20"/>
          <w:lang w:eastAsia="en-US"/>
        </w:rPr>
        <w:t xml:space="preserve">La tabella a seguire evidenzia i volumi garantiti dalla strutture della rete in funzione dei principi sopra enunciati </w:t>
      </w:r>
    </w:p>
    <w:p w14:paraId="18C6ACDC" w14:textId="77777777" w:rsidR="00E27519" w:rsidRDefault="00E27519">
      <w:pPr>
        <w:spacing w:before="0"/>
        <w:jc w:val="both"/>
        <w:rPr>
          <w:rFonts w:eastAsia="Calibri"/>
          <w:sz w:val="20"/>
          <w:highlight w:val="green"/>
          <w:lang w:eastAsia="en-US"/>
        </w:rPr>
      </w:pPr>
    </w:p>
    <w:tbl>
      <w:tblPr>
        <w:tblW w:w="9134" w:type="dxa"/>
        <w:jc w:val="center"/>
        <w:tblLayout w:type="fixed"/>
        <w:tblCellMar>
          <w:left w:w="70" w:type="dxa"/>
          <w:right w:w="70" w:type="dxa"/>
        </w:tblCellMar>
        <w:tblLook w:val="04A0" w:firstRow="1" w:lastRow="0" w:firstColumn="1" w:lastColumn="0" w:noHBand="0" w:noVBand="1"/>
      </w:tblPr>
      <w:tblGrid>
        <w:gridCol w:w="2620"/>
        <w:gridCol w:w="1906"/>
        <w:gridCol w:w="1843"/>
        <w:gridCol w:w="1559"/>
        <w:gridCol w:w="1206"/>
      </w:tblGrid>
      <w:tr w:rsidR="00E27519" w14:paraId="3D2557E0" w14:textId="77777777">
        <w:trPr>
          <w:trHeight w:val="315"/>
          <w:jc w:val="center"/>
        </w:trPr>
        <w:tc>
          <w:tcPr>
            <w:tcW w:w="2620" w:type="dxa"/>
            <w:tcBorders>
              <w:top w:val="single" w:sz="8" w:space="0" w:color="auto"/>
              <w:left w:val="single" w:sz="8" w:space="0" w:color="auto"/>
              <w:bottom w:val="single" w:sz="8" w:space="0" w:color="auto"/>
              <w:right w:val="single" w:sz="8" w:space="0" w:color="auto"/>
            </w:tcBorders>
            <w:shd w:val="clear" w:color="auto" w:fill="auto"/>
            <w:vAlign w:val="center"/>
          </w:tcPr>
          <w:p w14:paraId="18E23689" w14:textId="77777777" w:rsidR="00E27519" w:rsidRDefault="0003178C">
            <w:pPr>
              <w:suppressAutoHyphens w:val="0"/>
              <w:spacing w:before="0"/>
              <w:jc w:val="center"/>
              <w:rPr>
                <w:rFonts w:cs="Times New Roman"/>
                <w:b/>
                <w:bCs/>
                <w:color w:val="000000"/>
                <w:sz w:val="20"/>
                <w:lang w:eastAsia="it-IT" w:bidi="ar-SA"/>
              </w:rPr>
            </w:pPr>
            <w:r>
              <w:rPr>
                <w:rFonts w:cs="Times New Roman"/>
                <w:b/>
                <w:bCs/>
                <w:color w:val="000000"/>
                <w:sz w:val="20"/>
                <w:lang w:eastAsia="it-IT" w:bidi="ar-SA"/>
              </w:rPr>
              <w:t>Anno 2016</w:t>
            </w:r>
          </w:p>
        </w:tc>
        <w:tc>
          <w:tcPr>
            <w:tcW w:w="6514" w:type="dxa"/>
            <w:gridSpan w:val="4"/>
            <w:tcBorders>
              <w:top w:val="single" w:sz="8" w:space="0" w:color="auto"/>
              <w:left w:val="nil"/>
              <w:bottom w:val="single" w:sz="8" w:space="0" w:color="auto"/>
              <w:right w:val="single" w:sz="8" w:space="0" w:color="000000"/>
            </w:tcBorders>
            <w:shd w:val="clear" w:color="auto" w:fill="auto"/>
            <w:vAlign w:val="center"/>
          </w:tcPr>
          <w:p w14:paraId="3952EB9A" w14:textId="77777777" w:rsidR="00E27519" w:rsidRDefault="0003178C">
            <w:pPr>
              <w:suppressAutoHyphens w:val="0"/>
              <w:spacing w:before="0"/>
              <w:jc w:val="center"/>
              <w:rPr>
                <w:rFonts w:cs="Times New Roman"/>
                <w:b/>
                <w:bCs/>
                <w:color w:val="000000"/>
                <w:sz w:val="20"/>
                <w:lang w:eastAsia="it-IT" w:bidi="ar-SA"/>
              </w:rPr>
            </w:pPr>
            <w:r>
              <w:rPr>
                <w:rFonts w:cs="Times New Roman"/>
                <w:b/>
                <w:bCs/>
                <w:color w:val="000000"/>
                <w:sz w:val="20"/>
                <w:lang w:eastAsia="it-IT" w:bidi="ar-SA"/>
              </w:rPr>
              <w:t>Ospedali della rete provinciale</w:t>
            </w:r>
          </w:p>
        </w:tc>
      </w:tr>
      <w:tr w:rsidR="00E27519" w14:paraId="2B46EEBC" w14:textId="77777777">
        <w:trPr>
          <w:trHeight w:val="315"/>
          <w:jc w:val="center"/>
        </w:trPr>
        <w:tc>
          <w:tcPr>
            <w:tcW w:w="2620" w:type="dxa"/>
            <w:tcBorders>
              <w:top w:val="nil"/>
              <w:left w:val="single" w:sz="8" w:space="0" w:color="auto"/>
              <w:bottom w:val="single" w:sz="8" w:space="0" w:color="auto"/>
              <w:right w:val="single" w:sz="8" w:space="0" w:color="auto"/>
            </w:tcBorders>
            <w:shd w:val="clear" w:color="000000" w:fill="8DB4E2"/>
            <w:vAlign w:val="center"/>
          </w:tcPr>
          <w:p w14:paraId="5CA8F98D" w14:textId="77777777" w:rsidR="00E27519" w:rsidRDefault="0003178C">
            <w:pPr>
              <w:suppressAutoHyphens w:val="0"/>
              <w:spacing w:before="0"/>
              <w:jc w:val="both"/>
              <w:rPr>
                <w:rFonts w:cs="Times New Roman"/>
                <w:b/>
                <w:bCs/>
                <w:color w:val="000000"/>
                <w:sz w:val="20"/>
                <w:lang w:eastAsia="it-IT" w:bidi="ar-SA"/>
              </w:rPr>
            </w:pPr>
            <w:r>
              <w:rPr>
                <w:rFonts w:cs="Times New Roman"/>
                <w:b/>
                <w:bCs/>
                <w:color w:val="000000"/>
                <w:sz w:val="20"/>
                <w:lang w:eastAsia="it-IT" w:bidi="ar-SA"/>
              </w:rPr>
              <w:t>Tipologia di Intervento</w:t>
            </w:r>
          </w:p>
        </w:tc>
        <w:tc>
          <w:tcPr>
            <w:tcW w:w="1906" w:type="dxa"/>
            <w:tcBorders>
              <w:top w:val="nil"/>
              <w:left w:val="nil"/>
              <w:bottom w:val="single" w:sz="8" w:space="0" w:color="auto"/>
              <w:right w:val="single" w:sz="8" w:space="0" w:color="auto"/>
            </w:tcBorders>
            <w:shd w:val="clear" w:color="000000" w:fill="8DB4E2"/>
            <w:vAlign w:val="center"/>
          </w:tcPr>
          <w:p w14:paraId="597A7382" w14:textId="77777777" w:rsidR="00E27519" w:rsidRDefault="0003178C">
            <w:pPr>
              <w:suppressAutoHyphens w:val="0"/>
              <w:spacing w:before="0"/>
              <w:jc w:val="center"/>
              <w:rPr>
                <w:rFonts w:cs="Times New Roman"/>
                <w:b/>
                <w:bCs/>
                <w:color w:val="000000"/>
                <w:sz w:val="20"/>
                <w:lang w:eastAsia="it-IT" w:bidi="ar-SA"/>
              </w:rPr>
            </w:pPr>
            <w:r>
              <w:rPr>
                <w:rFonts w:cs="Times New Roman"/>
                <w:b/>
                <w:bCs/>
                <w:color w:val="000000"/>
                <w:sz w:val="20"/>
                <w:lang w:eastAsia="it-IT" w:bidi="ar-SA"/>
              </w:rPr>
              <w:t xml:space="preserve"> Carpi</w:t>
            </w:r>
          </w:p>
        </w:tc>
        <w:tc>
          <w:tcPr>
            <w:tcW w:w="1843" w:type="dxa"/>
            <w:tcBorders>
              <w:top w:val="nil"/>
              <w:left w:val="nil"/>
              <w:bottom w:val="single" w:sz="8" w:space="0" w:color="auto"/>
              <w:right w:val="single" w:sz="8" w:space="0" w:color="auto"/>
            </w:tcBorders>
            <w:shd w:val="clear" w:color="000000" w:fill="8DB4E2"/>
            <w:vAlign w:val="center"/>
          </w:tcPr>
          <w:p w14:paraId="49AE2189" w14:textId="77777777" w:rsidR="00E27519" w:rsidRDefault="0003178C">
            <w:pPr>
              <w:suppressAutoHyphens w:val="0"/>
              <w:spacing w:before="0"/>
              <w:jc w:val="center"/>
              <w:rPr>
                <w:rFonts w:cs="Times New Roman"/>
                <w:b/>
                <w:bCs/>
                <w:color w:val="000000"/>
                <w:sz w:val="20"/>
                <w:lang w:eastAsia="it-IT" w:bidi="ar-SA"/>
              </w:rPr>
            </w:pPr>
            <w:r>
              <w:rPr>
                <w:rFonts w:cs="Times New Roman"/>
                <w:b/>
                <w:bCs/>
                <w:color w:val="000000"/>
                <w:sz w:val="20"/>
                <w:lang w:eastAsia="it-IT" w:bidi="ar-SA"/>
              </w:rPr>
              <w:t>NOCSAE</w:t>
            </w:r>
          </w:p>
        </w:tc>
        <w:tc>
          <w:tcPr>
            <w:tcW w:w="1559" w:type="dxa"/>
            <w:tcBorders>
              <w:top w:val="nil"/>
              <w:left w:val="nil"/>
              <w:bottom w:val="single" w:sz="8" w:space="0" w:color="auto"/>
              <w:right w:val="single" w:sz="8" w:space="0" w:color="auto"/>
            </w:tcBorders>
            <w:shd w:val="clear" w:color="000000" w:fill="8DB4E2"/>
            <w:vAlign w:val="center"/>
          </w:tcPr>
          <w:p w14:paraId="38496068" w14:textId="77777777" w:rsidR="00E27519" w:rsidRDefault="0003178C">
            <w:pPr>
              <w:suppressAutoHyphens w:val="0"/>
              <w:spacing w:before="0"/>
              <w:jc w:val="center"/>
              <w:rPr>
                <w:rFonts w:cs="Times New Roman"/>
                <w:b/>
                <w:bCs/>
                <w:color w:val="000000"/>
                <w:sz w:val="20"/>
                <w:lang w:eastAsia="it-IT" w:bidi="ar-SA"/>
              </w:rPr>
            </w:pPr>
            <w:r>
              <w:rPr>
                <w:rFonts w:cs="Times New Roman"/>
                <w:b/>
                <w:bCs/>
                <w:color w:val="000000"/>
                <w:sz w:val="20"/>
                <w:lang w:eastAsia="it-IT" w:bidi="ar-SA"/>
              </w:rPr>
              <w:t>Policlinico</w:t>
            </w:r>
          </w:p>
        </w:tc>
        <w:tc>
          <w:tcPr>
            <w:tcW w:w="1206" w:type="dxa"/>
            <w:tcBorders>
              <w:top w:val="nil"/>
              <w:left w:val="nil"/>
              <w:bottom w:val="single" w:sz="8" w:space="0" w:color="auto"/>
              <w:right w:val="single" w:sz="8" w:space="0" w:color="auto"/>
            </w:tcBorders>
            <w:shd w:val="clear" w:color="000000" w:fill="8DB4E2"/>
            <w:vAlign w:val="center"/>
          </w:tcPr>
          <w:p w14:paraId="7204553D" w14:textId="77777777" w:rsidR="00E27519" w:rsidRDefault="0003178C">
            <w:pPr>
              <w:suppressAutoHyphens w:val="0"/>
              <w:spacing w:before="0"/>
              <w:jc w:val="center"/>
              <w:rPr>
                <w:rFonts w:cs="Times New Roman"/>
                <w:b/>
                <w:bCs/>
                <w:color w:val="000000"/>
                <w:sz w:val="20"/>
                <w:lang w:eastAsia="it-IT" w:bidi="ar-SA"/>
              </w:rPr>
            </w:pPr>
            <w:r>
              <w:rPr>
                <w:rFonts w:cs="Times New Roman"/>
                <w:b/>
                <w:bCs/>
                <w:color w:val="000000"/>
                <w:sz w:val="20"/>
                <w:lang w:eastAsia="it-IT" w:bidi="ar-SA"/>
              </w:rPr>
              <w:t>Sassuolo</w:t>
            </w:r>
          </w:p>
        </w:tc>
      </w:tr>
      <w:tr w:rsidR="00E27519" w14:paraId="03A3FC5A" w14:textId="77777777">
        <w:trPr>
          <w:trHeight w:val="315"/>
          <w:jc w:val="center"/>
        </w:trPr>
        <w:tc>
          <w:tcPr>
            <w:tcW w:w="2620" w:type="dxa"/>
            <w:tcBorders>
              <w:top w:val="nil"/>
              <w:left w:val="single" w:sz="8" w:space="0" w:color="auto"/>
              <w:bottom w:val="single" w:sz="8" w:space="0" w:color="auto"/>
              <w:right w:val="single" w:sz="8" w:space="0" w:color="auto"/>
            </w:tcBorders>
            <w:shd w:val="clear" w:color="auto" w:fill="auto"/>
            <w:vAlign w:val="center"/>
          </w:tcPr>
          <w:p w14:paraId="5B417996"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COLON</w:t>
            </w:r>
          </w:p>
        </w:tc>
        <w:tc>
          <w:tcPr>
            <w:tcW w:w="1906" w:type="dxa"/>
            <w:tcBorders>
              <w:top w:val="nil"/>
              <w:left w:val="nil"/>
              <w:bottom w:val="single" w:sz="8" w:space="0" w:color="auto"/>
              <w:right w:val="single" w:sz="8" w:space="0" w:color="auto"/>
            </w:tcBorders>
            <w:shd w:val="clear" w:color="auto" w:fill="auto"/>
            <w:vAlign w:val="center"/>
          </w:tcPr>
          <w:p w14:paraId="79E260C8"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67</w:t>
            </w:r>
          </w:p>
        </w:tc>
        <w:tc>
          <w:tcPr>
            <w:tcW w:w="1843" w:type="dxa"/>
            <w:tcBorders>
              <w:top w:val="nil"/>
              <w:left w:val="nil"/>
              <w:bottom w:val="single" w:sz="8" w:space="0" w:color="auto"/>
              <w:right w:val="single" w:sz="8" w:space="0" w:color="auto"/>
            </w:tcBorders>
            <w:shd w:val="clear" w:color="auto" w:fill="auto"/>
            <w:vAlign w:val="center"/>
          </w:tcPr>
          <w:p w14:paraId="7CA7CB12"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103</w:t>
            </w:r>
          </w:p>
        </w:tc>
        <w:tc>
          <w:tcPr>
            <w:tcW w:w="1559" w:type="dxa"/>
            <w:tcBorders>
              <w:top w:val="nil"/>
              <w:left w:val="nil"/>
              <w:bottom w:val="single" w:sz="8" w:space="0" w:color="auto"/>
              <w:right w:val="single" w:sz="8" w:space="0" w:color="auto"/>
            </w:tcBorders>
            <w:shd w:val="clear" w:color="auto" w:fill="auto"/>
            <w:vAlign w:val="center"/>
          </w:tcPr>
          <w:p w14:paraId="4C265977"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68</w:t>
            </w:r>
          </w:p>
        </w:tc>
        <w:tc>
          <w:tcPr>
            <w:tcW w:w="1206" w:type="dxa"/>
            <w:tcBorders>
              <w:top w:val="nil"/>
              <w:left w:val="nil"/>
              <w:bottom w:val="single" w:sz="8" w:space="0" w:color="auto"/>
              <w:right w:val="single" w:sz="8" w:space="0" w:color="auto"/>
            </w:tcBorders>
            <w:shd w:val="clear" w:color="auto" w:fill="auto"/>
            <w:vAlign w:val="center"/>
          </w:tcPr>
          <w:p w14:paraId="764301AB"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69</w:t>
            </w:r>
          </w:p>
        </w:tc>
      </w:tr>
      <w:tr w:rsidR="00E27519" w14:paraId="5587F928" w14:textId="77777777">
        <w:trPr>
          <w:trHeight w:val="315"/>
          <w:jc w:val="center"/>
        </w:trPr>
        <w:tc>
          <w:tcPr>
            <w:tcW w:w="2620" w:type="dxa"/>
            <w:tcBorders>
              <w:top w:val="nil"/>
              <w:left w:val="single" w:sz="8" w:space="0" w:color="auto"/>
              <w:bottom w:val="single" w:sz="8" w:space="0" w:color="auto"/>
              <w:right w:val="single" w:sz="8" w:space="0" w:color="auto"/>
            </w:tcBorders>
            <w:shd w:val="clear" w:color="000000" w:fill="DCE6F1"/>
            <w:vAlign w:val="center"/>
          </w:tcPr>
          <w:p w14:paraId="4514CCA8"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RETTO</w:t>
            </w:r>
          </w:p>
        </w:tc>
        <w:tc>
          <w:tcPr>
            <w:tcW w:w="1906" w:type="dxa"/>
            <w:tcBorders>
              <w:top w:val="nil"/>
              <w:left w:val="nil"/>
              <w:bottom w:val="single" w:sz="8" w:space="0" w:color="auto"/>
              <w:right w:val="single" w:sz="8" w:space="0" w:color="auto"/>
            </w:tcBorders>
            <w:shd w:val="clear" w:color="000000" w:fill="DCE6F1"/>
            <w:vAlign w:val="center"/>
          </w:tcPr>
          <w:p w14:paraId="49FC1934"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22</w:t>
            </w:r>
          </w:p>
        </w:tc>
        <w:tc>
          <w:tcPr>
            <w:tcW w:w="1843" w:type="dxa"/>
            <w:tcBorders>
              <w:top w:val="nil"/>
              <w:left w:val="nil"/>
              <w:bottom w:val="single" w:sz="8" w:space="0" w:color="auto"/>
              <w:right w:val="single" w:sz="8" w:space="0" w:color="auto"/>
            </w:tcBorders>
            <w:shd w:val="clear" w:color="000000" w:fill="DCE6F1"/>
            <w:vAlign w:val="center"/>
          </w:tcPr>
          <w:p w14:paraId="675FC75D"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27</w:t>
            </w:r>
          </w:p>
        </w:tc>
        <w:tc>
          <w:tcPr>
            <w:tcW w:w="1559" w:type="dxa"/>
            <w:tcBorders>
              <w:top w:val="nil"/>
              <w:left w:val="nil"/>
              <w:bottom w:val="single" w:sz="8" w:space="0" w:color="auto"/>
              <w:right w:val="single" w:sz="8" w:space="0" w:color="auto"/>
            </w:tcBorders>
            <w:shd w:val="clear" w:color="000000" w:fill="DCE6F1"/>
            <w:vAlign w:val="center"/>
          </w:tcPr>
          <w:p w14:paraId="60703511"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22</w:t>
            </w:r>
          </w:p>
        </w:tc>
        <w:tc>
          <w:tcPr>
            <w:tcW w:w="1206" w:type="dxa"/>
            <w:tcBorders>
              <w:top w:val="nil"/>
              <w:left w:val="nil"/>
              <w:bottom w:val="single" w:sz="8" w:space="0" w:color="auto"/>
              <w:right w:val="single" w:sz="8" w:space="0" w:color="auto"/>
            </w:tcBorders>
            <w:shd w:val="clear" w:color="000000" w:fill="DCE6F1"/>
            <w:vAlign w:val="center"/>
          </w:tcPr>
          <w:p w14:paraId="4BB0B7C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16</w:t>
            </w:r>
          </w:p>
        </w:tc>
      </w:tr>
      <w:tr w:rsidR="00E27519" w14:paraId="66AF6B82" w14:textId="77777777">
        <w:trPr>
          <w:trHeight w:val="315"/>
          <w:jc w:val="center"/>
        </w:trPr>
        <w:tc>
          <w:tcPr>
            <w:tcW w:w="2620" w:type="dxa"/>
            <w:tcBorders>
              <w:top w:val="nil"/>
              <w:left w:val="single" w:sz="8" w:space="0" w:color="auto"/>
              <w:bottom w:val="single" w:sz="8" w:space="0" w:color="auto"/>
              <w:right w:val="single" w:sz="8" w:space="0" w:color="auto"/>
            </w:tcBorders>
            <w:shd w:val="clear" w:color="auto" w:fill="auto"/>
            <w:vAlign w:val="center"/>
          </w:tcPr>
          <w:p w14:paraId="5C6E4A86"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MAMMELLA</w:t>
            </w:r>
          </w:p>
        </w:tc>
        <w:tc>
          <w:tcPr>
            <w:tcW w:w="1906" w:type="dxa"/>
            <w:tcBorders>
              <w:top w:val="nil"/>
              <w:left w:val="nil"/>
              <w:bottom w:val="single" w:sz="8" w:space="0" w:color="auto"/>
              <w:right w:val="single" w:sz="8" w:space="0" w:color="auto"/>
            </w:tcBorders>
            <w:shd w:val="clear" w:color="auto" w:fill="auto"/>
            <w:vAlign w:val="center"/>
          </w:tcPr>
          <w:p w14:paraId="0E2DCC1A"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176</w:t>
            </w:r>
          </w:p>
        </w:tc>
        <w:tc>
          <w:tcPr>
            <w:tcW w:w="1843" w:type="dxa"/>
            <w:tcBorders>
              <w:top w:val="nil"/>
              <w:left w:val="nil"/>
              <w:bottom w:val="single" w:sz="8" w:space="0" w:color="auto"/>
              <w:right w:val="single" w:sz="8" w:space="0" w:color="auto"/>
            </w:tcBorders>
            <w:shd w:val="clear" w:color="auto" w:fill="auto"/>
            <w:vAlign w:val="center"/>
          </w:tcPr>
          <w:p w14:paraId="0DFBB79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c>
          <w:tcPr>
            <w:tcW w:w="1559" w:type="dxa"/>
            <w:tcBorders>
              <w:top w:val="nil"/>
              <w:left w:val="nil"/>
              <w:bottom w:val="single" w:sz="8" w:space="0" w:color="auto"/>
              <w:right w:val="single" w:sz="8" w:space="0" w:color="auto"/>
            </w:tcBorders>
            <w:shd w:val="clear" w:color="auto" w:fill="auto"/>
            <w:vAlign w:val="center"/>
          </w:tcPr>
          <w:p w14:paraId="0CC00EC1"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615</w:t>
            </w:r>
          </w:p>
        </w:tc>
        <w:tc>
          <w:tcPr>
            <w:tcW w:w="1206" w:type="dxa"/>
            <w:tcBorders>
              <w:top w:val="nil"/>
              <w:left w:val="nil"/>
              <w:bottom w:val="single" w:sz="8" w:space="0" w:color="auto"/>
              <w:right w:val="single" w:sz="8" w:space="0" w:color="auto"/>
            </w:tcBorders>
            <w:shd w:val="clear" w:color="auto" w:fill="auto"/>
            <w:vAlign w:val="center"/>
          </w:tcPr>
          <w:p w14:paraId="3F02BA3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r>
      <w:tr w:rsidR="00E27519" w14:paraId="0A172D82" w14:textId="77777777">
        <w:trPr>
          <w:trHeight w:val="315"/>
          <w:jc w:val="center"/>
        </w:trPr>
        <w:tc>
          <w:tcPr>
            <w:tcW w:w="2620" w:type="dxa"/>
            <w:tcBorders>
              <w:top w:val="nil"/>
              <w:left w:val="single" w:sz="8" w:space="0" w:color="auto"/>
              <w:bottom w:val="single" w:sz="8" w:space="0" w:color="auto"/>
              <w:right w:val="single" w:sz="8" w:space="0" w:color="auto"/>
            </w:tcBorders>
            <w:shd w:val="clear" w:color="000000" w:fill="DCE6F1"/>
            <w:vAlign w:val="center"/>
          </w:tcPr>
          <w:p w14:paraId="72BC40A7"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di cui in situ</w:t>
            </w:r>
          </w:p>
        </w:tc>
        <w:tc>
          <w:tcPr>
            <w:tcW w:w="1906" w:type="dxa"/>
            <w:tcBorders>
              <w:top w:val="nil"/>
              <w:left w:val="nil"/>
              <w:bottom w:val="single" w:sz="8" w:space="0" w:color="auto"/>
              <w:right w:val="single" w:sz="8" w:space="0" w:color="auto"/>
            </w:tcBorders>
            <w:shd w:val="clear" w:color="000000" w:fill="DCE6F1"/>
            <w:vAlign w:val="center"/>
          </w:tcPr>
          <w:p w14:paraId="3B092C1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17</w:t>
            </w:r>
          </w:p>
        </w:tc>
        <w:tc>
          <w:tcPr>
            <w:tcW w:w="1843" w:type="dxa"/>
            <w:tcBorders>
              <w:top w:val="nil"/>
              <w:left w:val="nil"/>
              <w:bottom w:val="single" w:sz="8" w:space="0" w:color="auto"/>
              <w:right w:val="single" w:sz="8" w:space="0" w:color="auto"/>
            </w:tcBorders>
            <w:shd w:val="clear" w:color="000000" w:fill="DCE6F1"/>
            <w:vAlign w:val="center"/>
          </w:tcPr>
          <w:p w14:paraId="69EE7900"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c>
          <w:tcPr>
            <w:tcW w:w="1559" w:type="dxa"/>
            <w:tcBorders>
              <w:top w:val="nil"/>
              <w:left w:val="nil"/>
              <w:bottom w:val="single" w:sz="8" w:space="0" w:color="auto"/>
              <w:right w:val="single" w:sz="8" w:space="0" w:color="auto"/>
            </w:tcBorders>
            <w:shd w:val="clear" w:color="000000" w:fill="DCE6F1"/>
            <w:vAlign w:val="center"/>
          </w:tcPr>
          <w:p w14:paraId="7CA4E9B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126</w:t>
            </w:r>
          </w:p>
        </w:tc>
        <w:tc>
          <w:tcPr>
            <w:tcW w:w="1206" w:type="dxa"/>
            <w:tcBorders>
              <w:top w:val="nil"/>
              <w:left w:val="nil"/>
              <w:bottom w:val="single" w:sz="8" w:space="0" w:color="auto"/>
              <w:right w:val="single" w:sz="8" w:space="0" w:color="auto"/>
            </w:tcBorders>
            <w:shd w:val="clear" w:color="000000" w:fill="DCE6F1"/>
            <w:vAlign w:val="center"/>
          </w:tcPr>
          <w:p w14:paraId="5DA7D159"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r>
      <w:tr w:rsidR="00E27519" w14:paraId="77505A37" w14:textId="77777777">
        <w:trPr>
          <w:trHeight w:val="315"/>
          <w:jc w:val="center"/>
        </w:trPr>
        <w:tc>
          <w:tcPr>
            <w:tcW w:w="2620" w:type="dxa"/>
            <w:tcBorders>
              <w:top w:val="nil"/>
              <w:left w:val="single" w:sz="8" w:space="0" w:color="auto"/>
              <w:bottom w:val="single" w:sz="8" w:space="0" w:color="auto"/>
              <w:right w:val="single" w:sz="8" w:space="0" w:color="auto"/>
            </w:tcBorders>
            <w:shd w:val="clear" w:color="auto" w:fill="auto"/>
            <w:vAlign w:val="center"/>
          </w:tcPr>
          <w:p w14:paraId="36399677"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TIROIDE</w:t>
            </w:r>
          </w:p>
        </w:tc>
        <w:tc>
          <w:tcPr>
            <w:tcW w:w="1906" w:type="dxa"/>
            <w:tcBorders>
              <w:top w:val="nil"/>
              <w:left w:val="nil"/>
              <w:bottom w:val="single" w:sz="8" w:space="0" w:color="auto"/>
              <w:right w:val="single" w:sz="8" w:space="0" w:color="auto"/>
            </w:tcBorders>
            <w:shd w:val="clear" w:color="auto" w:fill="auto"/>
            <w:vAlign w:val="center"/>
          </w:tcPr>
          <w:p w14:paraId="5A4E1C96"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18</w:t>
            </w:r>
          </w:p>
        </w:tc>
        <w:tc>
          <w:tcPr>
            <w:tcW w:w="1843" w:type="dxa"/>
            <w:tcBorders>
              <w:top w:val="nil"/>
              <w:left w:val="nil"/>
              <w:bottom w:val="single" w:sz="8" w:space="0" w:color="auto"/>
              <w:right w:val="single" w:sz="8" w:space="0" w:color="auto"/>
            </w:tcBorders>
            <w:shd w:val="clear" w:color="auto" w:fill="auto"/>
            <w:vAlign w:val="center"/>
          </w:tcPr>
          <w:p w14:paraId="01AB79AB"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76</w:t>
            </w:r>
          </w:p>
        </w:tc>
        <w:tc>
          <w:tcPr>
            <w:tcW w:w="1559" w:type="dxa"/>
            <w:tcBorders>
              <w:top w:val="nil"/>
              <w:left w:val="nil"/>
              <w:bottom w:val="single" w:sz="8" w:space="0" w:color="auto"/>
              <w:right w:val="single" w:sz="8" w:space="0" w:color="auto"/>
            </w:tcBorders>
            <w:shd w:val="clear" w:color="auto" w:fill="auto"/>
            <w:vAlign w:val="center"/>
          </w:tcPr>
          <w:p w14:paraId="2A673A10"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56</w:t>
            </w:r>
          </w:p>
        </w:tc>
        <w:tc>
          <w:tcPr>
            <w:tcW w:w="1206" w:type="dxa"/>
            <w:tcBorders>
              <w:top w:val="nil"/>
              <w:left w:val="nil"/>
              <w:bottom w:val="single" w:sz="8" w:space="0" w:color="auto"/>
              <w:right w:val="single" w:sz="8" w:space="0" w:color="auto"/>
            </w:tcBorders>
            <w:shd w:val="clear" w:color="auto" w:fill="auto"/>
            <w:vAlign w:val="center"/>
          </w:tcPr>
          <w:p w14:paraId="552B4058"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18</w:t>
            </w:r>
          </w:p>
        </w:tc>
      </w:tr>
      <w:tr w:rsidR="00E27519" w14:paraId="2C8EA6CF" w14:textId="77777777">
        <w:trPr>
          <w:trHeight w:val="315"/>
          <w:jc w:val="center"/>
        </w:trPr>
        <w:tc>
          <w:tcPr>
            <w:tcW w:w="2620" w:type="dxa"/>
            <w:tcBorders>
              <w:top w:val="nil"/>
              <w:left w:val="single" w:sz="8" w:space="0" w:color="auto"/>
              <w:bottom w:val="single" w:sz="8" w:space="0" w:color="auto"/>
              <w:right w:val="single" w:sz="8" w:space="0" w:color="auto"/>
            </w:tcBorders>
            <w:shd w:val="clear" w:color="000000" w:fill="DCE6F1"/>
            <w:vAlign w:val="center"/>
          </w:tcPr>
          <w:p w14:paraId="60A1DF8C"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STOMACO</w:t>
            </w:r>
          </w:p>
        </w:tc>
        <w:tc>
          <w:tcPr>
            <w:tcW w:w="1906" w:type="dxa"/>
            <w:tcBorders>
              <w:top w:val="nil"/>
              <w:left w:val="nil"/>
              <w:bottom w:val="single" w:sz="8" w:space="0" w:color="auto"/>
              <w:right w:val="single" w:sz="8" w:space="0" w:color="auto"/>
            </w:tcBorders>
            <w:shd w:val="clear" w:color="000000" w:fill="DCE6F1"/>
            <w:vAlign w:val="center"/>
          </w:tcPr>
          <w:p w14:paraId="3D09E988"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w:t>
            </w:r>
          </w:p>
        </w:tc>
        <w:tc>
          <w:tcPr>
            <w:tcW w:w="1843" w:type="dxa"/>
            <w:tcBorders>
              <w:top w:val="nil"/>
              <w:left w:val="nil"/>
              <w:bottom w:val="single" w:sz="8" w:space="0" w:color="auto"/>
              <w:right w:val="single" w:sz="8" w:space="0" w:color="auto"/>
            </w:tcBorders>
            <w:shd w:val="clear" w:color="000000" w:fill="DCE6F1"/>
            <w:vAlign w:val="center"/>
          </w:tcPr>
          <w:p w14:paraId="4050E0E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34</w:t>
            </w:r>
          </w:p>
        </w:tc>
        <w:tc>
          <w:tcPr>
            <w:tcW w:w="1559" w:type="dxa"/>
            <w:tcBorders>
              <w:top w:val="nil"/>
              <w:left w:val="nil"/>
              <w:bottom w:val="single" w:sz="8" w:space="0" w:color="auto"/>
              <w:right w:val="single" w:sz="8" w:space="0" w:color="auto"/>
            </w:tcBorders>
            <w:shd w:val="clear" w:color="000000" w:fill="DCE6F1"/>
            <w:vAlign w:val="center"/>
          </w:tcPr>
          <w:p w14:paraId="79D18164"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18</w:t>
            </w:r>
          </w:p>
        </w:tc>
        <w:tc>
          <w:tcPr>
            <w:tcW w:w="1206" w:type="dxa"/>
            <w:tcBorders>
              <w:top w:val="nil"/>
              <w:left w:val="nil"/>
              <w:bottom w:val="single" w:sz="8" w:space="0" w:color="auto"/>
              <w:right w:val="single" w:sz="8" w:space="0" w:color="auto"/>
            </w:tcBorders>
            <w:shd w:val="clear" w:color="000000" w:fill="DCE6F1"/>
            <w:vAlign w:val="center"/>
          </w:tcPr>
          <w:p w14:paraId="755DDA5A"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r>
      <w:tr w:rsidR="00E27519" w14:paraId="7B98CF56" w14:textId="77777777">
        <w:trPr>
          <w:trHeight w:val="315"/>
          <w:jc w:val="center"/>
        </w:trPr>
        <w:tc>
          <w:tcPr>
            <w:tcW w:w="2620" w:type="dxa"/>
            <w:tcBorders>
              <w:top w:val="nil"/>
              <w:left w:val="single" w:sz="8" w:space="0" w:color="auto"/>
              <w:bottom w:val="single" w:sz="8" w:space="0" w:color="auto"/>
              <w:right w:val="single" w:sz="8" w:space="0" w:color="auto"/>
            </w:tcBorders>
            <w:shd w:val="clear" w:color="auto" w:fill="auto"/>
            <w:vAlign w:val="center"/>
          </w:tcPr>
          <w:p w14:paraId="77A20D44"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FEGATO</w:t>
            </w:r>
          </w:p>
        </w:tc>
        <w:tc>
          <w:tcPr>
            <w:tcW w:w="1906" w:type="dxa"/>
            <w:tcBorders>
              <w:top w:val="nil"/>
              <w:left w:val="nil"/>
              <w:bottom w:val="single" w:sz="8" w:space="0" w:color="auto"/>
              <w:right w:val="single" w:sz="8" w:space="0" w:color="auto"/>
            </w:tcBorders>
            <w:shd w:val="clear" w:color="auto" w:fill="auto"/>
            <w:vAlign w:val="center"/>
          </w:tcPr>
          <w:p w14:paraId="1EE3E124"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w:t>
            </w:r>
          </w:p>
        </w:tc>
        <w:tc>
          <w:tcPr>
            <w:tcW w:w="1843" w:type="dxa"/>
            <w:tcBorders>
              <w:top w:val="nil"/>
              <w:left w:val="nil"/>
              <w:bottom w:val="single" w:sz="8" w:space="0" w:color="auto"/>
              <w:right w:val="single" w:sz="8" w:space="0" w:color="auto"/>
            </w:tcBorders>
            <w:shd w:val="clear" w:color="auto" w:fill="auto"/>
            <w:vAlign w:val="center"/>
          </w:tcPr>
          <w:p w14:paraId="2740EA3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20</w:t>
            </w:r>
          </w:p>
        </w:tc>
        <w:tc>
          <w:tcPr>
            <w:tcW w:w="1559" w:type="dxa"/>
            <w:tcBorders>
              <w:top w:val="nil"/>
              <w:left w:val="nil"/>
              <w:bottom w:val="single" w:sz="8" w:space="0" w:color="auto"/>
              <w:right w:val="single" w:sz="8" w:space="0" w:color="auto"/>
            </w:tcBorders>
            <w:shd w:val="clear" w:color="auto" w:fill="auto"/>
            <w:vAlign w:val="center"/>
          </w:tcPr>
          <w:p w14:paraId="0066D691"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30</w:t>
            </w:r>
          </w:p>
        </w:tc>
        <w:tc>
          <w:tcPr>
            <w:tcW w:w="1206" w:type="dxa"/>
            <w:tcBorders>
              <w:top w:val="nil"/>
              <w:left w:val="nil"/>
              <w:bottom w:val="single" w:sz="8" w:space="0" w:color="auto"/>
              <w:right w:val="single" w:sz="8" w:space="0" w:color="auto"/>
            </w:tcBorders>
            <w:shd w:val="clear" w:color="auto" w:fill="auto"/>
            <w:vAlign w:val="center"/>
          </w:tcPr>
          <w:p w14:paraId="04423931"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r>
      <w:tr w:rsidR="00E27519" w14:paraId="182ABE18" w14:textId="77777777">
        <w:trPr>
          <w:trHeight w:val="315"/>
          <w:jc w:val="center"/>
        </w:trPr>
        <w:tc>
          <w:tcPr>
            <w:tcW w:w="2620" w:type="dxa"/>
            <w:tcBorders>
              <w:top w:val="nil"/>
              <w:left w:val="single" w:sz="8" w:space="0" w:color="auto"/>
              <w:bottom w:val="single" w:sz="8" w:space="0" w:color="auto"/>
              <w:right w:val="single" w:sz="8" w:space="0" w:color="auto"/>
            </w:tcBorders>
            <w:shd w:val="clear" w:color="000000" w:fill="DCE6F1"/>
            <w:vAlign w:val="center"/>
          </w:tcPr>
          <w:p w14:paraId="305709D8"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PANCREAS</w:t>
            </w:r>
          </w:p>
        </w:tc>
        <w:tc>
          <w:tcPr>
            <w:tcW w:w="1906" w:type="dxa"/>
            <w:tcBorders>
              <w:top w:val="nil"/>
              <w:left w:val="nil"/>
              <w:bottom w:val="single" w:sz="8" w:space="0" w:color="auto"/>
              <w:right w:val="single" w:sz="8" w:space="0" w:color="auto"/>
            </w:tcBorders>
            <w:shd w:val="clear" w:color="000000" w:fill="DCE6F1"/>
            <w:vAlign w:val="center"/>
          </w:tcPr>
          <w:p w14:paraId="162170D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c>
          <w:tcPr>
            <w:tcW w:w="1843" w:type="dxa"/>
            <w:tcBorders>
              <w:top w:val="nil"/>
              <w:left w:val="nil"/>
              <w:bottom w:val="single" w:sz="8" w:space="0" w:color="auto"/>
              <w:right w:val="single" w:sz="8" w:space="0" w:color="auto"/>
            </w:tcBorders>
            <w:shd w:val="clear" w:color="000000" w:fill="DCE6F1"/>
            <w:vAlign w:val="center"/>
          </w:tcPr>
          <w:p w14:paraId="1BF3E6D7"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10</w:t>
            </w:r>
          </w:p>
        </w:tc>
        <w:tc>
          <w:tcPr>
            <w:tcW w:w="1559" w:type="dxa"/>
            <w:tcBorders>
              <w:top w:val="nil"/>
              <w:left w:val="nil"/>
              <w:bottom w:val="single" w:sz="8" w:space="0" w:color="auto"/>
              <w:right w:val="single" w:sz="8" w:space="0" w:color="auto"/>
            </w:tcBorders>
            <w:shd w:val="clear" w:color="000000" w:fill="DCE6F1"/>
            <w:vAlign w:val="center"/>
          </w:tcPr>
          <w:p w14:paraId="76EB990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14</w:t>
            </w:r>
          </w:p>
        </w:tc>
        <w:tc>
          <w:tcPr>
            <w:tcW w:w="1206" w:type="dxa"/>
            <w:tcBorders>
              <w:top w:val="nil"/>
              <w:left w:val="nil"/>
              <w:bottom w:val="single" w:sz="8" w:space="0" w:color="auto"/>
              <w:right w:val="single" w:sz="8" w:space="0" w:color="auto"/>
            </w:tcBorders>
            <w:shd w:val="clear" w:color="000000" w:fill="DCE6F1"/>
            <w:vAlign w:val="center"/>
          </w:tcPr>
          <w:p w14:paraId="475B647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r>
      <w:tr w:rsidR="00E27519" w14:paraId="702E6B0B" w14:textId="77777777">
        <w:trPr>
          <w:trHeight w:val="315"/>
          <w:jc w:val="center"/>
        </w:trPr>
        <w:tc>
          <w:tcPr>
            <w:tcW w:w="2620" w:type="dxa"/>
            <w:tcBorders>
              <w:top w:val="nil"/>
              <w:left w:val="single" w:sz="8" w:space="0" w:color="auto"/>
              <w:bottom w:val="single" w:sz="8" w:space="0" w:color="auto"/>
              <w:right w:val="single" w:sz="8" w:space="0" w:color="auto"/>
            </w:tcBorders>
            <w:shd w:val="clear" w:color="auto" w:fill="auto"/>
            <w:vAlign w:val="center"/>
          </w:tcPr>
          <w:p w14:paraId="195E214A"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PROSTATA</w:t>
            </w:r>
          </w:p>
        </w:tc>
        <w:tc>
          <w:tcPr>
            <w:tcW w:w="1906" w:type="dxa"/>
            <w:tcBorders>
              <w:top w:val="nil"/>
              <w:left w:val="nil"/>
              <w:bottom w:val="single" w:sz="8" w:space="0" w:color="auto"/>
              <w:right w:val="single" w:sz="8" w:space="0" w:color="auto"/>
            </w:tcBorders>
            <w:shd w:val="clear" w:color="auto" w:fill="auto"/>
            <w:vAlign w:val="center"/>
          </w:tcPr>
          <w:p w14:paraId="4B2FD8AB"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54</w:t>
            </w:r>
          </w:p>
        </w:tc>
        <w:tc>
          <w:tcPr>
            <w:tcW w:w="1843" w:type="dxa"/>
            <w:tcBorders>
              <w:top w:val="nil"/>
              <w:left w:val="nil"/>
              <w:bottom w:val="single" w:sz="8" w:space="0" w:color="auto"/>
              <w:right w:val="single" w:sz="8" w:space="0" w:color="auto"/>
            </w:tcBorders>
            <w:shd w:val="clear" w:color="auto" w:fill="auto"/>
            <w:vAlign w:val="center"/>
          </w:tcPr>
          <w:p w14:paraId="0597E839"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158</w:t>
            </w:r>
          </w:p>
        </w:tc>
        <w:tc>
          <w:tcPr>
            <w:tcW w:w="1559" w:type="dxa"/>
            <w:tcBorders>
              <w:top w:val="nil"/>
              <w:left w:val="nil"/>
              <w:bottom w:val="single" w:sz="8" w:space="0" w:color="auto"/>
              <w:right w:val="single" w:sz="8" w:space="0" w:color="auto"/>
            </w:tcBorders>
            <w:shd w:val="clear" w:color="auto" w:fill="auto"/>
            <w:vAlign w:val="center"/>
          </w:tcPr>
          <w:p w14:paraId="2FB48CDA"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c>
          <w:tcPr>
            <w:tcW w:w="1206" w:type="dxa"/>
            <w:tcBorders>
              <w:top w:val="nil"/>
              <w:left w:val="nil"/>
              <w:bottom w:val="single" w:sz="8" w:space="0" w:color="auto"/>
              <w:right w:val="single" w:sz="8" w:space="0" w:color="auto"/>
            </w:tcBorders>
            <w:shd w:val="clear" w:color="auto" w:fill="auto"/>
            <w:vAlign w:val="center"/>
          </w:tcPr>
          <w:p w14:paraId="3C8C5F3D"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56</w:t>
            </w:r>
          </w:p>
        </w:tc>
      </w:tr>
      <w:tr w:rsidR="00E27519" w14:paraId="160E8B5D" w14:textId="77777777">
        <w:trPr>
          <w:trHeight w:val="315"/>
          <w:jc w:val="center"/>
        </w:trPr>
        <w:tc>
          <w:tcPr>
            <w:tcW w:w="2620" w:type="dxa"/>
            <w:tcBorders>
              <w:top w:val="nil"/>
              <w:left w:val="single" w:sz="8" w:space="0" w:color="auto"/>
              <w:bottom w:val="single" w:sz="8" w:space="0" w:color="auto"/>
              <w:right w:val="single" w:sz="8" w:space="0" w:color="auto"/>
            </w:tcBorders>
            <w:shd w:val="clear" w:color="000000" w:fill="DCE6F1"/>
            <w:vAlign w:val="center"/>
          </w:tcPr>
          <w:p w14:paraId="3FCD7491"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RENE</w:t>
            </w:r>
          </w:p>
        </w:tc>
        <w:tc>
          <w:tcPr>
            <w:tcW w:w="1906" w:type="dxa"/>
            <w:tcBorders>
              <w:top w:val="nil"/>
              <w:left w:val="nil"/>
              <w:bottom w:val="single" w:sz="8" w:space="0" w:color="auto"/>
              <w:right w:val="single" w:sz="8" w:space="0" w:color="auto"/>
            </w:tcBorders>
            <w:shd w:val="clear" w:color="000000" w:fill="DCE6F1"/>
            <w:vAlign w:val="center"/>
          </w:tcPr>
          <w:p w14:paraId="47FDA3F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50</w:t>
            </w:r>
          </w:p>
        </w:tc>
        <w:tc>
          <w:tcPr>
            <w:tcW w:w="1843" w:type="dxa"/>
            <w:tcBorders>
              <w:top w:val="nil"/>
              <w:left w:val="nil"/>
              <w:bottom w:val="single" w:sz="8" w:space="0" w:color="auto"/>
              <w:right w:val="single" w:sz="8" w:space="0" w:color="auto"/>
            </w:tcBorders>
            <w:shd w:val="clear" w:color="000000" w:fill="DCE6F1"/>
            <w:vAlign w:val="center"/>
          </w:tcPr>
          <w:p w14:paraId="6888D50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42</w:t>
            </w:r>
          </w:p>
        </w:tc>
        <w:tc>
          <w:tcPr>
            <w:tcW w:w="1559" w:type="dxa"/>
            <w:tcBorders>
              <w:top w:val="nil"/>
              <w:left w:val="nil"/>
              <w:bottom w:val="single" w:sz="8" w:space="0" w:color="auto"/>
              <w:right w:val="single" w:sz="8" w:space="0" w:color="auto"/>
            </w:tcBorders>
            <w:shd w:val="clear" w:color="000000" w:fill="DCE6F1"/>
            <w:vAlign w:val="center"/>
          </w:tcPr>
          <w:p w14:paraId="64628A79"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w:t>
            </w:r>
          </w:p>
        </w:tc>
        <w:tc>
          <w:tcPr>
            <w:tcW w:w="1206" w:type="dxa"/>
            <w:tcBorders>
              <w:top w:val="nil"/>
              <w:left w:val="nil"/>
              <w:bottom w:val="single" w:sz="8" w:space="0" w:color="auto"/>
              <w:right w:val="single" w:sz="8" w:space="0" w:color="auto"/>
            </w:tcBorders>
            <w:shd w:val="clear" w:color="000000" w:fill="DCE6F1"/>
            <w:vAlign w:val="center"/>
          </w:tcPr>
          <w:p w14:paraId="33671E9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35</w:t>
            </w:r>
          </w:p>
        </w:tc>
      </w:tr>
      <w:tr w:rsidR="00E27519" w14:paraId="2F44014C" w14:textId="77777777">
        <w:trPr>
          <w:trHeight w:val="315"/>
          <w:jc w:val="center"/>
        </w:trPr>
        <w:tc>
          <w:tcPr>
            <w:tcW w:w="2620" w:type="dxa"/>
            <w:tcBorders>
              <w:top w:val="nil"/>
              <w:left w:val="single" w:sz="8" w:space="0" w:color="auto"/>
              <w:bottom w:val="single" w:sz="8" w:space="0" w:color="auto"/>
              <w:right w:val="single" w:sz="8" w:space="0" w:color="auto"/>
            </w:tcBorders>
            <w:shd w:val="clear" w:color="auto" w:fill="auto"/>
            <w:vAlign w:val="center"/>
          </w:tcPr>
          <w:p w14:paraId="47051AD8"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VESCICA</w:t>
            </w:r>
          </w:p>
        </w:tc>
        <w:tc>
          <w:tcPr>
            <w:tcW w:w="1906" w:type="dxa"/>
            <w:tcBorders>
              <w:top w:val="nil"/>
              <w:left w:val="nil"/>
              <w:bottom w:val="single" w:sz="8" w:space="0" w:color="auto"/>
              <w:right w:val="single" w:sz="8" w:space="0" w:color="auto"/>
            </w:tcBorders>
            <w:shd w:val="clear" w:color="auto" w:fill="auto"/>
            <w:vAlign w:val="center"/>
          </w:tcPr>
          <w:p w14:paraId="29E3A2D1"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35</w:t>
            </w:r>
          </w:p>
        </w:tc>
        <w:tc>
          <w:tcPr>
            <w:tcW w:w="1843" w:type="dxa"/>
            <w:tcBorders>
              <w:top w:val="nil"/>
              <w:left w:val="nil"/>
              <w:bottom w:val="single" w:sz="8" w:space="0" w:color="auto"/>
              <w:right w:val="single" w:sz="8" w:space="0" w:color="auto"/>
            </w:tcBorders>
            <w:shd w:val="clear" w:color="auto" w:fill="auto"/>
            <w:vAlign w:val="center"/>
          </w:tcPr>
          <w:p w14:paraId="1CE9F74E"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17</w:t>
            </w:r>
          </w:p>
        </w:tc>
        <w:tc>
          <w:tcPr>
            <w:tcW w:w="1559" w:type="dxa"/>
            <w:tcBorders>
              <w:top w:val="nil"/>
              <w:left w:val="nil"/>
              <w:bottom w:val="single" w:sz="8" w:space="0" w:color="auto"/>
              <w:right w:val="single" w:sz="8" w:space="0" w:color="auto"/>
            </w:tcBorders>
            <w:shd w:val="clear" w:color="auto" w:fill="auto"/>
          </w:tcPr>
          <w:p w14:paraId="56C13AD5" w14:textId="77777777" w:rsidR="00E27519" w:rsidRDefault="0003178C">
            <w:pPr>
              <w:suppressAutoHyphens w:val="0"/>
              <w:spacing w:before="0"/>
              <w:rPr>
                <w:rFonts w:ascii="Times New Roman" w:hAnsi="Times New Roman" w:cs="Times New Roman"/>
                <w:color w:val="000000"/>
                <w:sz w:val="20"/>
                <w:lang w:eastAsia="it-IT" w:bidi="ar-SA"/>
              </w:rPr>
            </w:pPr>
            <w:r>
              <w:rPr>
                <w:rFonts w:ascii="Times New Roman" w:hAnsi="Times New Roman" w:cs="Times New Roman"/>
                <w:color w:val="000000"/>
                <w:sz w:val="20"/>
                <w:lang w:eastAsia="it-IT" w:bidi="ar-SA"/>
              </w:rPr>
              <w:t> </w:t>
            </w:r>
          </w:p>
        </w:tc>
        <w:tc>
          <w:tcPr>
            <w:tcW w:w="1206" w:type="dxa"/>
            <w:tcBorders>
              <w:top w:val="nil"/>
              <w:left w:val="nil"/>
              <w:bottom w:val="single" w:sz="8" w:space="0" w:color="auto"/>
              <w:right w:val="single" w:sz="8" w:space="0" w:color="auto"/>
            </w:tcBorders>
            <w:shd w:val="clear" w:color="auto" w:fill="auto"/>
            <w:vAlign w:val="center"/>
          </w:tcPr>
          <w:p w14:paraId="4DFAF2DE"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14</w:t>
            </w:r>
          </w:p>
        </w:tc>
      </w:tr>
      <w:tr w:rsidR="00E27519" w14:paraId="6D865D9F" w14:textId="77777777">
        <w:trPr>
          <w:trHeight w:val="315"/>
          <w:jc w:val="center"/>
        </w:trPr>
        <w:tc>
          <w:tcPr>
            <w:tcW w:w="2620" w:type="dxa"/>
            <w:tcBorders>
              <w:top w:val="nil"/>
              <w:left w:val="single" w:sz="8" w:space="0" w:color="auto"/>
              <w:bottom w:val="single" w:sz="8" w:space="0" w:color="auto"/>
              <w:right w:val="single" w:sz="8" w:space="0" w:color="auto"/>
            </w:tcBorders>
            <w:shd w:val="clear" w:color="000000" w:fill="DCE6F1"/>
            <w:vAlign w:val="center"/>
          </w:tcPr>
          <w:p w14:paraId="5EF2817F"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POLMONE</w:t>
            </w:r>
          </w:p>
        </w:tc>
        <w:tc>
          <w:tcPr>
            <w:tcW w:w="1906" w:type="dxa"/>
            <w:tcBorders>
              <w:top w:val="nil"/>
              <w:left w:val="nil"/>
              <w:bottom w:val="single" w:sz="8" w:space="0" w:color="auto"/>
              <w:right w:val="single" w:sz="8" w:space="0" w:color="auto"/>
            </w:tcBorders>
            <w:shd w:val="clear" w:color="000000" w:fill="DCE6F1"/>
            <w:vAlign w:val="center"/>
          </w:tcPr>
          <w:p w14:paraId="185ECA84"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c>
          <w:tcPr>
            <w:tcW w:w="1843" w:type="dxa"/>
            <w:tcBorders>
              <w:top w:val="nil"/>
              <w:left w:val="nil"/>
              <w:bottom w:val="single" w:sz="8" w:space="0" w:color="auto"/>
              <w:right w:val="single" w:sz="8" w:space="0" w:color="auto"/>
            </w:tcBorders>
            <w:shd w:val="clear" w:color="000000" w:fill="DCE6F1"/>
            <w:vAlign w:val="center"/>
          </w:tcPr>
          <w:p w14:paraId="078BFA94"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c>
          <w:tcPr>
            <w:tcW w:w="1559" w:type="dxa"/>
            <w:tcBorders>
              <w:top w:val="nil"/>
              <w:left w:val="nil"/>
              <w:bottom w:val="single" w:sz="8" w:space="0" w:color="auto"/>
              <w:right w:val="single" w:sz="8" w:space="0" w:color="auto"/>
            </w:tcBorders>
            <w:shd w:val="clear" w:color="000000" w:fill="DCE6F1"/>
            <w:vAlign w:val="center"/>
          </w:tcPr>
          <w:p w14:paraId="2018C454"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119</w:t>
            </w:r>
          </w:p>
        </w:tc>
        <w:tc>
          <w:tcPr>
            <w:tcW w:w="1206" w:type="dxa"/>
            <w:tcBorders>
              <w:top w:val="nil"/>
              <w:left w:val="nil"/>
              <w:bottom w:val="single" w:sz="8" w:space="0" w:color="auto"/>
              <w:right w:val="single" w:sz="8" w:space="0" w:color="auto"/>
            </w:tcBorders>
            <w:shd w:val="clear" w:color="000000" w:fill="DCE6F1"/>
            <w:vAlign w:val="center"/>
          </w:tcPr>
          <w:p w14:paraId="713085B5"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r>
      <w:tr w:rsidR="00E27519" w14:paraId="4C940AF8" w14:textId="77777777">
        <w:trPr>
          <w:trHeight w:val="315"/>
          <w:jc w:val="center"/>
        </w:trPr>
        <w:tc>
          <w:tcPr>
            <w:tcW w:w="2620" w:type="dxa"/>
            <w:tcBorders>
              <w:top w:val="nil"/>
              <w:left w:val="single" w:sz="8" w:space="0" w:color="auto"/>
              <w:bottom w:val="single" w:sz="8" w:space="0" w:color="auto"/>
              <w:right w:val="single" w:sz="8" w:space="0" w:color="auto"/>
            </w:tcBorders>
            <w:shd w:val="clear" w:color="auto" w:fill="auto"/>
            <w:vAlign w:val="center"/>
          </w:tcPr>
          <w:p w14:paraId="56C29A1E"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OVAIO</w:t>
            </w:r>
          </w:p>
        </w:tc>
        <w:tc>
          <w:tcPr>
            <w:tcW w:w="1906" w:type="dxa"/>
            <w:tcBorders>
              <w:top w:val="nil"/>
              <w:left w:val="nil"/>
              <w:bottom w:val="single" w:sz="8" w:space="0" w:color="auto"/>
              <w:right w:val="single" w:sz="8" w:space="0" w:color="auto"/>
            </w:tcBorders>
            <w:shd w:val="clear" w:color="auto" w:fill="auto"/>
            <w:vAlign w:val="center"/>
          </w:tcPr>
          <w:p w14:paraId="029F4665"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12</w:t>
            </w:r>
          </w:p>
        </w:tc>
        <w:tc>
          <w:tcPr>
            <w:tcW w:w="1843" w:type="dxa"/>
            <w:tcBorders>
              <w:top w:val="nil"/>
              <w:left w:val="nil"/>
              <w:bottom w:val="single" w:sz="8" w:space="0" w:color="auto"/>
              <w:right w:val="single" w:sz="8" w:space="0" w:color="auto"/>
            </w:tcBorders>
            <w:shd w:val="clear" w:color="auto" w:fill="auto"/>
            <w:vAlign w:val="center"/>
          </w:tcPr>
          <w:p w14:paraId="335C4DD6"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0</w:t>
            </w:r>
          </w:p>
        </w:tc>
        <w:tc>
          <w:tcPr>
            <w:tcW w:w="1559" w:type="dxa"/>
            <w:tcBorders>
              <w:top w:val="nil"/>
              <w:left w:val="nil"/>
              <w:bottom w:val="single" w:sz="8" w:space="0" w:color="auto"/>
              <w:right w:val="single" w:sz="8" w:space="0" w:color="auto"/>
            </w:tcBorders>
            <w:shd w:val="clear" w:color="auto" w:fill="auto"/>
            <w:vAlign w:val="center"/>
          </w:tcPr>
          <w:p w14:paraId="7722C69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13</w:t>
            </w:r>
          </w:p>
        </w:tc>
        <w:tc>
          <w:tcPr>
            <w:tcW w:w="1206" w:type="dxa"/>
            <w:tcBorders>
              <w:top w:val="nil"/>
              <w:left w:val="nil"/>
              <w:bottom w:val="single" w:sz="8" w:space="0" w:color="auto"/>
              <w:right w:val="single" w:sz="8" w:space="0" w:color="auto"/>
            </w:tcBorders>
            <w:shd w:val="clear" w:color="auto" w:fill="auto"/>
            <w:vAlign w:val="center"/>
          </w:tcPr>
          <w:p w14:paraId="0C2A448A"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7</w:t>
            </w:r>
          </w:p>
        </w:tc>
      </w:tr>
      <w:tr w:rsidR="00E27519" w14:paraId="3C614E8C" w14:textId="77777777">
        <w:trPr>
          <w:trHeight w:val="315"/>
          <w:jc w:val="center"/>
        </w:trPr>
        <w:tc>
          <w:tcPr>
            <w:tcW w:w="2620" w:type="dxa"/>
            <w:tcBorders>
              <w:top w:val="nil"/>
              <w:left w:val="single" w:sz="8" w:space="0" w:color="auto"/>
              <w:bottom w:val="single" w:sz="8" w:space="0" w:color="auto"/>
              <w:right w:val="single" w:sz="8" w:space="0" w:color="auto"/>
            </w:tcBorders>
            <w:shd w:val="clear" w:color="000000" w:fill="DCE6F1"/>
            <w:vAlign w:val="center"/>
          </w:tcPr>
          <w:p w14:paraId="6675A5B5" w14:textId="77777777" w:rsidR="00E27519" w:rsidRDefault="0003178C">
            <w:pPr>
              <w:suppressAutoHyphens w:val="0"/>
              <w:spacing w:before="0"/>
              <w:jc w:val="both"/>
              <w:rPr>
                <w:rFonts w:cs="Times New Roman"/>
                <w:color w:val="000000"/>
                <w:sz w:val="20"/>
                <w:lang w:eastAsia="it-IT" w:bidi="ar-SA"/>
              </w:rPr>
            </w:pPr>
            <w:r>
              <w:rPr>
                <w:rFonts w:cs="Times New Roman"/>
                <w:color w:val="000000"/>
                <w:sz w:val="20"/>
                <w:lang w:eastAsia="it-IT" w:bidi="ar-SA"/>
              </w:rPr>
              <w:t>K UTERO</w:t>
            </w:r>
          </w:p>
        </w:tc>
        <w:tc>
          <w:tcPr>
            <w:tcW w:w="1906" w:type="dxa"/>
            <w:tcBorders>
              <w:top w:val="nil"/>
              <w:left w:val="nil"/>
              <w:bottom w:val="single" w:sz="8" w:space="0" w:color="auto"/>
              <w:right w:val="single" w:sz="8" w:space="0" w:color="auto"/>
            </w:tcBorders>
            <w:shd w:val="clear" w:color="000000" w:fill="DCE6F1"/>
            <w:vAlign w:val="center"/>
          </w:tcPr>
          <w:p w14:paraId="4A62F3E2"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32</w:t>
            </w:r>
          </w:p>
        </w:tc>
        <w:tc>
          <w:tcPr>
            <w:tcW w:w="1843" w:type="dxa"/>
            <w:tcBorders>
              <w:top w:val="nil"/>
              <w:left w:val="nil"/>
              <w:bottom w:val="single" w:sz="8" w:space="0" w:color="auto"/>
              <w:right w:val="single" w:sz="8" w:space="0" w:color="auto"/>
            </w:tcBorders>
            <w:shd w:val="clear" w:color="000000" w:fill="DCE6F1"/>
            <w:vAlign w:val="center"/>
          </w:tcPr>
          <w:p w14:paraId="51330ADA"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w:t>
            </w:r>
          </w:p>
        </w:tc>
        <w:tc>
          <w:tcPr>
            <w:tcW w:w="1559" w:type="dxa"/>
            <w:tcBorders>
              <w:top w:val="nil"/>
              <w:left w:val="nil"/>
              <w:bottom w:val="single" w:sz="8" w:space="0" w:color="auto"/>
              <w:right w:val="single" w:sz="8" w:space="0" w:color="auto"/>
            </w:tcBorders>
            <w:shd w:val="clear" w:color="000000" w:fill="DCE6F1"/>
            <w:vAlign w:val="center"/>
          </w:tcPr>
          <w:p w14:paraId="2E3440A9"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27</w:t>
            </w:r>
          </w:p>
        </w:tc>
        <w:tc>
          <w:tcPr>
            <w:tcW w:w="1206" w:type="dxa"/>
            <w:tcBorders>
              <w:top w:val="nil"/>
              <w:left w:val="nil"/>
              <w:bottom w:val="single" w:sz="8" w:space="0" w:color="auto"/>
              <w:right w:val="single" w:sz="8" w:space="0" w:color="auto"/>
            </w:tcBorders>
            <w:shd w:val="clear" w:color="000000" w:fill="DCE6F1"/>
            <w:vAlign w:val="center"/>
          </w:tcPr>
          <w:p w14:paraId="25A169B7"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29</w:t>
            </w:r>
          </w:p>
        </w:tc>
      </w:tr>
      <w:tr w:rsidR="00E27519" w14:paraId="249881FC" w14:textId="77777777">
        <w:trPr>
          <w:trHeight w:val="315"/>
          <w:jc w:val="center"/>
        </w:trPr>
        <w:tc>
          <w:tcPr>
            <w:tcW w:w="2620" w:type="dxa"/>
            <w:tcBorders>
              <w:top w:val="nil"/>
              <w:left w:val="single" w:sz="8" w:space="0" w:color="auto"/>
              <w:bottom w:val="single" w:sz="8" w:space="0" w:color="auto"/>
              <w:right w:val="single" w:sz="8" w:space="0" w:color="auto"/>
            </w:tcBorders>
            <w:shd w:val="clear" w:color="auto" w:fill="auto"/>
            <w:vAlign w:val="center"/>
          </w:tcPr>
          <w:p w14:paraId="7C0F2C1E" w14:textId="77777777" w:rsidR="00E27519" w:rsidRDefault="0003178C">
            <w:pPr>
              <w:suppressAutoHyphens w:val="0"/>
              <w:spacing w:before="0"/>
              <w:jc w:val="both"/>
              <w:rPr>
                <w:rFonts w:cs="Times New Roman"/>
                <w:i/>
                <w:iCs/>
                <w:color w:val="000000"/>
                <w:sz w:val="20"/>
                <w:lang w:eastAsia="it-IT" w:bidi="ar-SA"/>
              </w:rPr>
            </w:pPr>
            <w:r>
              <w:rPr>
                <w:rFonts w:cs="Times New Roman"/>
                <w:i/>
                <w:iCs/>
                <w:color w:val="000000"/>
                <w:sz w:val="20"/>
                <w:lang w:eastAsia="it-IT" w:bidi="ar-SA"/>
              </w:rPr>
              <w:t>di cui al collo dell'utero</w:t>
            </w:r>
          </w:p>
        </w:tc>
        <w:tc>
          <w:tcPr>
            <w:tcW w:w="1906" w:type="dxa"/>
            <w:tcBorders>
              <w:top w:val="nil"/>
              <w:left w:val="nil"/>
              <w:bottom w:val="single" w:sz="8" w:space="0" w:color="auto"/>
              <w:right w:val="single" w:sz="8" w:space="0" w:color="auto"/>
            </w:tcBorders>
            <w:shd w:val="clear" w:color="auto" w:fill="auto"/>
            <w:vAlign w:val="center"/>
          </w:tcPr>
          <w:p w14:paraId="6D1C843D" w14:textId="77777777" w:rsidR="00E27519" w:rsidRDefault="0003178C">
            <w:pPr>
              <w:suppressAutoHyphens w:val="0"/>
              <w:spacing w:before="0"/>
              <w:jc w:val="center"/>
              <w:rPr>
                <w:rFonts w:cs="Times New Roman"/>
                <w:i/>
                <w:iCs/>
                <w:color w:val="000000"/>
                <w:sz w:val="20"/>
                <w:lang w:eastAsia="it-IT" w:bidi="ar-SA"/>
              </w:rPr>
            </w:pPr>
            <w:r>
              <w:rPr>
                <w:rFonts w:cs="Times New Roman"/>
                <w:i/>
                <w:iCs/>
                <w:color w:val="000000"/>
                <w:sz w:val="20"/>
                <w:lang w:eastAsia="it-IT" w:bidi="ar-SA"/>
              </w:rPr>
              <w:t>2</w:t>
            </w:r>
          </w:p>
        </w:tc>
        <w:tc>
          <w:tcPr>
            <w:tcW w:w="1843" w:type="dxa"/>
            <w:tcBorders>
              <w:top w:val="nil"/>
              <w:left w:val="nil"/>
              <w:bottom w:val="single" w:sz="8" w:space="0" w:color="auto"/>
              <w:right w:val="single" w:sz="8" w:space="0" w:color="auto"/>
            </w:tcBorders>
            <w:shd w:val="clear" w:color="auto" w:fill="auto"/>
            <w:vAlign w:val="center"/>
          </w:tcPr>
          <w:p w14:paraId="7A0A1669" w14:textId="77777777" w:rsidR="00E27519" w:rsidRDefault="0003178C">
            <w:pPr>
              <w:suppressAutoHyphens w:val="0"/>
              <w:spacing w:before="0"/>
              <w:jc w:val="center"/>
              <w:rPr>
                <w:rFonts w:cs="Times New Roman"/>
                <w:i/>
                <w:iCs/>
                <w:color w:val="000000"/>
                <w:sz w:val="20"/>
                <w:lang w:eastAsia="it-IT" w:bidi="ar-SA"/>
              </w:rPr>
            </w:pPr>
            <w:r>
              <w:rPr>
                <w:rFonts w:cs="Times New Roman"/>
                <w:i/>
                <w:iCs/>
                <w:color w:val="000000"/>
                <w:sz w:val="20"/>
                <w:lang w:eastAsia="it-IT" w:bidi="ar-SA"/>
              </w:rPr>
              <w:t>0</w:t>
            </w:r>
          </w:p>
        </w:tc>
        <w:tc>
          <w:tcPr>
            <w:tcW w:w="1559" w:type="dxa"/>
            <w:tcBorders>
              <w:top w:val="nil"/>
              <w:left w:val="nil"/>
              <w:bottom w:val="single" w:sz="8" w:space="0" w:color="auto"/>
              <w:right w:val="single" w:sz="8" w:space="0" w:color="auto"/>
            </w:tcBorders>
            <w:shd w:val="clear" w:color="auto" w:fill="auto"/>
            <w:vAlign w:val="center"/>
          </w:tcPr>
          <w:p w14:paraId="700ABCE4" w14:textId="77777777" w:rsidR="00E27519" w:rsidRDefault="0003178C">
            <w:pPr>
              <w:suppressAutoHyphens w:val="0"/>
              <w:spacing w:before="0"/>
              <w:jc w:val="center"/>
              <w:rPr>
                <w:rFonts w:cs="Times New Roman"/>
                <w:i/>
                <w:iCs/>
                <w:color w:val="000000"/>
                <w:sz w:val="20"/>
                <w:lang w:eastAsia="it-IT" w:bidi="ar-SA"/>
              </w:rPr>
            </w:pPr>
            <w:r>
              <w:rPr>
                <w:rFonts w:cs="Times New Roman"/>
                <w:i/>
                <w:iCs/>
                <w:color w:val="000000"/>
                <w:sz w:val="20"/>
                <w:lang w:eastAsia="it-IT" w:bidi="ar-SA"/>
              </w:rPr>
              <w:t>6</w:t>
            </w:r>
          </w:p>
        </w:tc>
        <w:tc>
          <w:tcPr>
            <w:tcW w:w="1206" w:type="dxa"/>
            <w:tcBorders>
              <w:top w:val="nil"/>
              <w:left w:val="nil"/>
              <w:bottom w:val="single" w:sz="8" w:space="0" w:color="auto"/>
              <w:right w:val="single" w:sz="8" w:space="0" w:color="auto"/>
            </w:tcBorders>
            <w:shd w:val="clear" w:color="auto" w:fill="auto"/>
            <w:vAlign w:val="center"/>
          </w:tcPr>
          <w:p w14:paraId="66FD75AE" w14:textId="77777777" w:rsidR="00E27519" w:rsidRDefault="0003178C">
            <w:pPr>
              <w:suppressAutoHyphens w:val="0"/>
              <w:spacing w:before="0"/>
              <w:jc w:val="center"/>
              <w:rPr>
                <w:rFonts w:cs="Times New Roman"/>
                <w:i/>
                <w:iCs/>
                <w:color w:val="000000"/>
                <w:sz w:val="20"/>
                <w:lang w:eastAsia="it-IT" w:bidi="ar-SA"/>
              </w:rPr>
            </w:pPr>
            <w:r>
              <w:rPr>
                <w:rFonts w:cs="Times New Roman"/>
                <w:i/>
                <w:iCs/>
                <w:color w:val="000000"/>
                <w:sz w:val="20"/>
                <w:lang w:eastAsia="it-IT" w:bidi="ar-SA"/>
              </w:rPr>
              <w:t>2</w:t>
            </w:r>
          </w:p>
        </w:tc>
      </w:tr>
    </w:tbl>
    <w:p w14:paraId="09BF57FF" w14:textId="77777777" w:rsidR="00E27519" w:rsidRDefault="00E27519">
      <w:pPr>
        <w:spacing w:before="0"/>
        <w:jc w:val="both"/>
        <w:rPr>
          <w:rFonts w:eastAsia="Calibri"/>
          <w:sz w:val="20"/>
          <w:highlight w:val="green"/>
          <w:lang w:eastAsia="en-US"/>
        </w:rPr>
      </w:pPr>
    </w:p>
    <w:p w14:paraId="0C9F9500" w14:textId="77777777" w:rsidR="00E27519" w:rsidRDefault="00E27519">
      <w:pPr>
        <w:spacing w:before="0"/>
        <w:jc w:val="both"/>
        <w:rPr>
          <w:rFonts w:eastAsia="Calibri"/>
          <w:sz w:val="20"/>
          <w:highlight w:val="green"/>
          <w:lang w:eastAsia="en-US"/>
        </w:rPr>
      </w:pPr>
    </w:p>
    <w:p w14:paraId="6123DFCA" w14:textId="45898467" w:rsidR="00E27519" w:rsidRDefault="0003178C">
      <w:pPr>
        <w:spacing w:before="0"/>
        <w:jc w:val="both"/>
        <w:rPr>
          <w:rFonts w:eastAsia="Calibri"/>
          <w:sz w:val="20"/>
          <w:lang w:eastAsia="en-US"/>
        </w:rPr>
      </w:pPr>
      <w:r>
        <w:rPr>
          <w:rFonts w:eastAsia="Calibri"/>
          <w:sz w:val="20"/>
          <w:lang w:eastAsia="en-US"/>
        </w:rPr>
        <w:t xml:space="preserve">Per la provincia di Modena la cardiochirurgia è garantita dall'Ospedale privato accreditato </w:t>
      </w:r>
      <w:proofErr w:type="spellStart"/>
      <w:r>
        <w:rPr>
          <w:rFonts w:eastAsia="Calibri"/>
          <w:sz w:val="20"/>
          <w:lang w:eastAsia="en-US"/>
        </w:rPr>
        <w:t>Hesperia</w:t>
      </w:r>
      <w:proofErr w:type="spellEnd"/>
      <w:r>
        <w:rPr>
          <w:rFonts w:eastAsia="Calibri"/>
          <w:sz w:val="20"/>
          <w:lang w:eastAsia="en-US"/>
        </w:rPr>
        <w:t xml:space="preserve"> Hospital. Nello specifico i volumi 2016 (tutte le residenze) di by pass isolati corrispondono a 181 casi con una mortalità a 30 gg per soli modenesi inferiore a 1,5 % (atteso &lt; 3%). Per quanto attiene alle valvole isolate il numero complessivo corrisponde a 369 e la mortalità a 30 gg dei soli modenesi è 1,4 % (atteso &lt; 4%). Nel corso del 2016 è stata predisposta una procedura provinciale per il trattamento delle TAVI presso </w:t>
      </w:r>
      <w:proofErr w:type="spellStart"/>
      <w:r>
        <w:rPr>
          <w:rFonts w:eastAsia="Calibri"/>
          <w:sz w:val="20"/>
          <w:lang w:eastAsia="en-US"/>
        </w:rPr>
        <w:t>Hesperia</w:t>
      </w:r>
      <w:proofErr w:type="spellEnd"/>
      <w:r>
        <w:rPr>
          <w:rFonts w:eastAsia="Calibri"/>
          <w:sz w:val="20"/>
          <w:lang w:eastAsia="en-US"/>
        </w:rPr>
        <w:t xml:space="preserve"> Hospital con equipe mista costituita da professionisti (Cardiologi/ </w:t>
      </w:r>
      <w:proofErr w:type="spellStart"/>
      <w:r>
        <w:rPr>
          <w:rFonts w:eastAsia="Calibri"/>
          <w:sz w:val="20"/>
          <w:lang w:eastAsia="en-US"/>
        </w:rPr>
        <w:t>intensivisti</w:t>
      </w:r>
      <w:proofErr w:type="spellEnd"/>
      <w:r>
        <w:rPr>
          <w:rFonts w:eastAsia="Calibri"/>
          <w:sz w:val="20"/>
          <w:lang w:eastAsia="en-US"/>
        </w:rPr>
        <w:t xml:space="preserve">) di Baggiovara, Policlinico e HH.  </w:t>
      </w:r>
    </w:p>
    <w:p w14:paraId="384D2A77" w14:textId="77777777" w:rsidR="00E27519" w:rsidRDefault="00E27519">
      <w:pPr>
        <w:spacing w:before="0"/>
        <w:jc w:val="both"/>
        <w:rPr>
          <w:rFonts w:eastAsia="Calibri"/>
          <w:sz w:val="20"/>
          <w:lang w:eastAsia="en-US"/>
        </w:rPr>
      </w:pPr>
    </w:p>
    <w:p w14:paraId="0362E828" w14:textId="77777777" w:rsidR="00E27519" w:rsidRDefault="0003178C">
      <w:pPr>
        <w:spacing w:before="0"/>
        <w:jc w:val="both"/>
        <w:rPr>
          <w:rFonts w:asciiTheme="minorHAnsi" w:eastAsia="Calibri" w:hAnsiTheme="minorHAnsi"/>
          <w:sz w:val="20"/>
          <w:lang w:eastAsia="en-US"/>
        </w:rPr>
      </w:pPr>
      <w:r>
        <w:rPr>
          <w:rFonts w:asciiTheme="minorHAnsi" w:eastAsia="Calibri" w:hAnsiTheme="minorHAnsi"/>
          <w:sz w:val="20"/>
          <w:lang w:eastAsia="en-US"/>
        </w:rPr>
        <w:lastRenderedPageBreak/>
        <w:t>Sono state deliberate le procedure di attivazione di STAM e STEN in ogni ambito territoriale:</w:t>
      </w:r>
    </w:p>
    <w:p w14:paraId="0471009B" w14:textId="77777777" w:rsidR="00E27519" w:rsidRDefault="0003178C">
      <w:pPr>
        <w:pStyle w:val="Paragrafoelenco2"/>
        <w:numPr>
          <w:ilvl w:val="0"/>
          <w:numId w:val="29"/>
        </w:numPr>
        <w:jc w:val="both"/>
        <w:rPr>
          <w:rFonts w:asciiTheme="minorHAnsi" w:eastAsia="Calibri" w:hAnsiTheme="minorHAnsi"/>
          <w:lang w:eastAsia="en-US"/>
        </w:rPr>
      </w:pPr>
      <w:r>
        <w:rPr>
          <w:rFonts w:asciiTheme="minorHAnsi" w:eastAsia="Calibri" w:hAnsiTheme="minorHAnsi"/>
          <w:lang w:eastAsia="en-US"/>
        </w:rPr>
        <w:t xml:space="preserve">Con delibera n. 202 del 17/10/2016 - "Procedura Interaziendale del Servizio di Trasporto Emergenza Neonatale (STEN) per la Provincia di Modena " di cui alle linee di indirizzo approvate con DGR n. 1603/2013. </w:t>
      </w:r>
    </w:p>
    <w:p w14:paraId="7E30E504" w14:textId="77777777" w:rsidR="00E27519" w:rsidRDefault="0003178C">
      <w:pPr>
        <w:pStyle w:val="Paragrafoelenco2"/>
        <w:numPr>
          <w:ilvl w:val="0"/>
          <w:numId w:val="29"/>
        </w:numPr>
        <w:jc w:val="both"/>
        <w:rPr>
          <w:rFonts w:asciiTheme="minorHAnsi" w:eastAsia="Calibri" w:hAnsiTheme="minorHAnsi"/>
          <w:lang w:eastAsia="en-US"/>
        </w:rPr>
      </w:pPr>
      <w:r>
        <w:rPr>
          <w:rFonts w:asciiTheme="minorHAnsi" w:eastAsia="Calibri" w:hAnsiTheme="minorHAnsi"/>
          <w:lang w:eastAsia="en-US"/>
        </w:rPr>
        <w:t>Con delibera n. 241 del 24/11/2016 - "Recepimento della Procedura Interaziendale del Servizio di Trasporto Assistito Materno (STAM) per la Provincia di Modena, di cui alle linee di indirizzo approvate con DGR n. 1603 del 2013.</w:t>
      </w:r>
    </w:p>
    <w:p w14:paraId="34CEB8D3" w14:textId="77777777" w:rsidR="00E27519" w:rsidRDefault="00E27519">
      <w:pPr>
        <w:spacing w:before="0"/>
        <w:jc w:val="both"/>
        <w:rPr>
          <w:rFonts w:eastAsia="Calibri"/>
          <w:b/>
          <w:sz w:val="20"/>
          <w:lang w:eastAsia="en-US"/>
        </w:rPr>
      </w:pPr>
    </w:p>
    <w:p w14:paraId="6DB420AC" w14:textId="77777777" w:rsidR="00E27519" w:rsidRDefault="0003178C">
      <w:pPr>
        <w:pStyle w:val="Titolo3Verdana"/>
        <w:rPr>
          <w:rFonts w:asciiTheme="minorHAnsi" w:eastAsia="Calibri" w:hAnsiTheme="minorHAnsi"/>
        </w:rPr>
      </w:pPr>
      <w:bookmarkStart w:id="35" w:name="_Toc486415643"/>
      <w:r>
        <w:rPr>
          <w:rFonts w:asciiTheme="minorHAnsi" w:eastAsia="Calibri" w:hAnsiTheme="minorHAnsi"/>
        </w:rPr>
        <w:t>5.4 Sicurezza delle cure</w:t>
      </w:r>
      <w:bookmarkEnd w:id="35"/>
      <w:r>
        <w:rPr>
          <w:rFonts w:asciiTheme="minorHAnsi" w:eastAsia="Calibri" w:hAnsiTheme="minorHAnsi"/>
        </w:rPr>
        <w:t xml:space="preserve"> </w:t>
      </w:r>
    </w:p>
    <w:p w14:paraId="32564A84" w14:textId="77777777" w:rsidR="00E27519" w:rsidRDefault="0003178C">
      <w:pPr>
        <w:ind w:right="284"/>
        <w:jc w:val="both"/>
        <w:rPr>
          <w:rFonts w:eastAsia="Calibri"/>
          <w:sz w:val="20"/>
          <w:lang w:eastAsia="en-US"/>
        </w:rPr>
      </w:pPr>
      <w:r>
        <w:rPr>
          <w:rFonts w:eastAsia="Calibri"/>
          <w:sz w:val="20"/>
          <w:lang w:eastAsia="en-US"/>
        </w:rPr>
        <w:t xml:space="preserve">È stato deliberato il programma aziendale di sicurezza delle cure con Delibera DG n. 303 del 30/12/2016. Devono essere avviate le azioni propedeutiche alla programmazione triennale: riassetto organizzativo della UO Rischio Clinico, rete referenti e Board per la sicurezza entro il 2017. </w:t>
      </w:r>
    </w:p>
    <w:p w14:paraId="33757050" w14:textId="77777777" w:rsidR="00E27519" w:rsidRDefault="0003178C">
      <w:pPr>
        <w:ind w:right="284"/>
        <w:jc w:val="both"/>
        <w:rPr>
          <w:rFonts w:asciiTheme="minorHAnsi" w:eastAsia="Calibri" w:hAnsiTheme="minorHAnsi"/>
          <w:sz w:val="20"/>
          <w:lang w:eastAsia="en-US"/>
        </w:rPr>
      </w:pPr>
      <w:r>
        <w:rPr>
          <w:rFonts w:eastAsia="Calibri"/>
          <w:sz w:val="20"/>
          <w:lang w:eastAsia="en-US"/>
        </w:rPr>
        <w:t xml:space="preserve">La qualità della compilazione della compilazione della </w:t>
      </w:r>
      <w:proofErr w:type="spellStart"/>
      <w:r>
        <w:rPr>
          <w:rFonts w:eastAsia="Calibri"/>
          <w:sz w:val="20"/>
          <w:lang w:eastAsia="en-US"/>
        </w:rPr>
        <w:t>check</w:t>
      </w:r>
      <w:proofErr w:type="spellEnd"/>
      <w:r>
        <w:rPr>
          <w:rFonts w:eastAsia="Calibri"/>
          <w:sz w:val="20"/>
          <w:lang w:eastAsia="en-US"/>
        </w:rPr>
        <w:t xml:space="preserve">-list di sala operatoria per l’Azienda USL di Modena è stata pari al 94,9% - Media RER 92,6% (Restituzione CRUSCOTTO RER - elaborazione dati inviati nel corso del </w:t>
      </w:r>
      <w:r>
        <w:rPr>
          <w:rFonts w:asciiTheme="minorHAnsi" w:eastAsia="Calibri" w:hAnsiTheme="minorHAnsi"/>
          <w:sz w:val="20"/>
          <w:lang w:eastAsia="en-US"/>
        </w:rPr>
        <w:t>2016 dai BO del Presidio). Sono state intraprese azioni di codifica degli interventi chirurgici nel programma registro operatorio. Inoltre, è stata effettuata la progettazione del cruscotto per il monitoraggio dell’attività chirurgica e delle liste di attesa:</w:t>
      </w:r>
    </w:p>
    <w:p w14:paraId="3B62760B" w14:textId="77777777" w:rsidR="00E27519" w:rsidRDefault="0003178C">
      <w:pPr>
        <w:pStyle w:val="Paragrafoelenco2"/>
        <w:numPr>
          <w:ilvl w:val="0"/>
          <w:numId w:val="30"/>
        </w:numPr>
        <w:ind w:right="284"/>
        <w:jc w:val="both"/>
        <w:rPr>
          <w:rFonts w:asciiTheme="minorHAnsi" w:eastAsia="Calibri" w:hAnsiTheme="minorHAnsi"/>
          <w:lang w:eastAsia="en-US"/>
        </w:rPr>
      </w:pPr>
      <w:r>
        <w:rPr>
          <w:rFonts w:asciiTheme="minorHAnsi" w:eastAsia="Calibri" w:hAnsiTheme="minorHAnsi"/>
          <w:lang w:eastAsia="en-US"/>
        </w:rPr>
        <w:t xml:space="preserve">Informatizzazione del processo di applicazione/utilizzo della CL di sala operatoria  </w:t>
      </w:r>
    </w:p>
    <w:p w14:paraId="4B575AB0" w14:textId="77777777" w:rsidR="00E27519" w:rsidRDefault="0003178C">
      <w:pPr>
        <w:pStyle w:val="Paragrafoelenco2"/>
        <w:numPr>
          <w:ilvl w:val="0"/>
          <w:numId w:val="30"/>
        </w:numPr>
        <w:ind w:right="284"/>
        <w:jc w:val="both"/>
        <w:rPr>
          <w:rFonts w:asciiTheme="minorHAnsi" w:eastAsia="Calibri" w:hAnsiTheme="minorHAnsi"/>
          <w:lang w:eastAsia="en-US"/>
        </w:rPr>
      </w:pPr>
      <w:r>
        <w:rPr>
          <w:rFonts w:asciiTheme="minorHAnsi" w:eastAsia="Calibri" w:hAnsiTheme="minorHAnsi"/>
          <w:lang w:eastAsia="en-US"/>
        </w:rPr>
        <w:t>Interventi di miglioramento dell'applicativo SSCL e del Registro Operatorio Informatizzato:</w:t>
      </w:r>
    </w:p>
    <w:p w14:paraId="713EF1D8" w14:textId="77777777" w:rsidR="00E27519" w:rsidRDefault="0003178C">
      <w:pPr>
        <w:pStyle w:val="Paragrafoelenco2"/>
        <w:numPr>
          <w:ilvl w:val="1"/>
          <w:numId w:val="30"/>
        </w:numPr>
        <w:ind w:right="284"/>
        <w:jc w:val="both"/>
        <w:rPr>
          <w:rFonts w:asciiTheme="minorHAnsi" w:eastAsia="Calibri" w:hAnsiTheme="minorHAnsi"/>
          <w:lang w:eastAsia="en-US"/>
        </w:rPr>
      </w:pPr>
      <w:r>
        <w:rPr>
          <w:rFonts w:asciiTheme="minorHAnsi" w:eastAsia="Calibri" w:hAnsiTheme="minorHAnsi"/>
          <w:lang w:eastAsia="en-US"/>
        </w:rPr>
        <w:t xml:space="preserve">Implementazione della comunicazione HL7 tra l'applicativo ed il Registro Operatorio Informatizzato;  </w:t>
      </w:r>
    </w:p>
    <w:p w14:paraId="16D0D87E" w14:textId="77777777" w:rsidR="00E27519" w:rsidRDefault="0003178C">
      <w:pPr>
        <w:pStyle w:val="Paragrafoelenco2"/>
        <w:numPr>
          <w:ilvl w:val="1"/>
          <w:numId w:val="30"/>
        </w:numPr>
        <w:ind w:right="284"/>
        <w:jc w:val="both"/>
        <w:rPr>
          <w:rFonts w:asciiTheme="minorHAnsi" w:eastAsia="Calibri" w:hAnsiTheme="minorHAnsi"/>
          <w:lang w:eastAsia="en-US"/>
        </w:rPr>
      </w:pPr>
      <w:r>
        <w:rPr>
          <w:rFonts w:asciiTheme="minorHAnsi" w:eastAsia="Calibri" w:hAnsiTheme="minorHAnsi"/>
          <w:lang w:eastAsia="en-US"/>
        </w:rPr>
        <w:t xml:space="preserve">Analisi e pubblicazione dei dati tramite cruscotto di indicatori condivisi con l'equipe aziendale su piattaforma </w:t>
      </w:r>
      <w:proofErr w:type="spellStart"/>
      <w:r>
        <w:rPr>
          <w:rFonts w:asciiTheme="minorHAnsi" w:eastAsia="Calibri" w:hAnsiTheme="minorHAnsi"/>
          <w:lang w:eastAsia="en-US"/>
        </w:rPr>
        <w:t>QlickView</w:t>
      </w:r>
      <w:proofErr w:type="spellEnd"/>
      <w:r>
        <w:rPr>
          <w:rFonts w:asciiTheme="minorHAnsi" w:eastAsia="Calibri" w:hAnsiTheme="minorHAnsi"/>
          <w:lang w:eastAsia="en-US"/>
        </w:rPr>
        <w:t xml:space="preserve"> (a disposizione dell'equipe aziendale e dell'equipe locali);</w:t>
      </w:r>
    </w:p>
    <w:p w14:paraId="650E1856" w14:textId="77777777" w:rsidR="00E27519" w:rsidRDefault="0003178C">
      <w:pPr>
        <w:pStyle w:val="Paragrafoelenco2"/>
        <w:numPr>
          <w:ilvl w:val="0"/>
          <w:numId w:val="30"/>
        </w:numPr>
        <w:ind w:right="284"/>
        <w:jc w:val="both"/>
        <w:rPr>
          <w:rFonts w:asciiTheme="minorHAnsi" w:eastAsia="Calibri" w:hAnsiTheme="minorHAnsi"/>
          <w:lang w:eastAsia="en-US"/>
        </w:rPr>
      </w:pPr>
      <w:r>
        <w:rPr>
          <w:rFonts w:asciiTheme="minorHAnsi" w:eastAsia="Calibri" w:hAnsiTheme="minorHAnsi"/>
          <w:lang w:eastAsia="en-US"/>
        </w:rPr>
        <w:t>Analisi delle criticità di compilazione del Registro Operatorio Informatizzato e successivo perfezionamento della definizione dei campi a compilazione obbligatoria.</w:t>
      </w:r>
    </w:p>
    <w:p w14:paraId="68C88EC8" w14:textId="77777777" w:rsidR="00E27519" w:rsidRDefault="00E27519">
      <w:pPr>
        <w:spacing w:before="0"/>
        <w:jc w:val="both"/>
        <w:rPr>
          <w:rFonts w:asciiTheme="minorHAnsi" w:eastAsia="Calibri" w:hAnsiTheme="minorHAnsi"/>
          <w:sz w:val="20"/>
          <w:lang w:eastAsia="en-US"/>
        </w:rPr>
      </w:pPr>
    </w:p>
    <w:p w14:paraId="1DABDBDD" w14:textId="77777777" w:rsidR="00E27519" w:rsidRDefault="0003178C">
      <w:pPr>
        <w:pStyle w:val="Titolo3Verdana"/>
        <w:rPr>
          <w:rFonts w:asciiTheme="minorHAnsi" w:eastAsia="Calibri" w:hAnsiTheme="minorHAnsi"/>
        </w:rPr>
      </w:pPr>
      <w:bookmarkStart w:id="36" w:name="_Toc486415644"/>
      <w:r>
        <w:rPr>
          <w:rFonts w:asciiTheme="minorHAnsi" w:eastAsia="Calibri" w:hAnsiTheme="minorHAnsi"/>
        </w:rPr>
        <w:t>5.5 Governance ed appropriatezza d’uso dei farmaci</w:t>
      </w:r>
      <w:bookmarkEnd w:id="36"/>
    </w:p>
    <w:p w14:paraId="651E628F" w14:textId="1D300602" w:rsidR="00E27519" w:rsidRDefault="0003178C">
      <w:pPr>
        <w:jc w:val="both"/>
        <w:rPr>
          <w:rFonts w:eastAsia="Calibri"/>
          <w:sz w:val="20"/>
          <w:lang w:eastAsia="en-US"/>
        </w:rPr>
      </w:pPr>
      <w:r>
        <w:rPr>
          <w:rFonts w:eastAsia="Calibri"/>
          <w:sz w:val="20"/>
          <w:lang w:eastAsia="en-US"/>
        </w:rPr>
        <w:t xml:space="preserve">Per quanto concerne la farmaceutica convenzionata, nel 2016, c'è stata una riduzione nella spesa convenzionata pari al -3,4% rispetto al 2015. La spesa pro capite pesata è di €113,77. </w:t>
      </w:r>
      <w:r w:rsidR="00315DEF">
        <w:rPr>
          <w:rFonts w:eastAsia="Calibri"/>
          <w:sz w:val="20"/>
          <w:lang w:eastAsia="en-US"/>
        </w:rPr>
        <w:t>È</w:t>
      </w:r>
      <w:r>
        <w:rPr>
          <w:rFonts w:eastAsia="Calibri"/>
          <w:sz w:val="20"/>
          <w:lang w:eastAsia="en-US"/>
        </w:rPr>
        <w:t xml:space="preserve"> stata avviata la produzione di documenti di appropriatezza prescrittiva, tramite diversi incontri con MMG. </w:t>
      </w:r>
      <w:r w:rsidR="00315DEF">
        <w:rPr>
          <w:rFonts w:eastAsia="Calibri"/>
          <w:sz w:val="20"/>
          <w:lang w:eastAsia="en-US"/>
        </w:rPr>
        <w:t>È</w:t>
      </w:r>
      <w:r>
        <w:rPr>
          <w:rFonts w:eastAsia="Calibri"/>
          <w:sz w:val="20"/>
          <w:lang w:eastAsia="en-US"/>
        </w:rPr>
        <w:t xml:space="preserve"> stata periodicamente effettuata la presentazione dei dati dell'andamento prescrittivo e dei risultati in corso d'anno in tutti gli incontri di budget con gli Specialisti dei Dipartimenti e Servizi. Nel 2016 si è verificato un incremento attività di distribuzione diretta.</w:t>
      </w:r>
    </w:p>
    <w:p w14:paraId="59B7E768" w14:textId="77777777" w:rsidR="00E27519" w:rsidRDefault="0003178C">
      <w:pPr>
        <w:jc w:val="both"/>
        <w:rPr>
          <w:rFonts w:asciiTheme="minorHAnsi" w:eastAsia="Calibri" w:hAnsiTheme="minorHAnsi"/>
          <w:sz w:val="20"/>
          <w:lang w:eastAsia="en-US"/>
        </w:rPr>
      </w:pPr>
      <w:r>
        <w:rPr>
          <w:rFonts w:asciiTheme="minorHAnsi" w:eastAsia="Calibri" w:hAnsiTheme="minorHAnsi"/>
          <w:sz w:val="20"/>
          <w:lang w:eastAsia="en-US"/>
        </w:rPr>
        <w:t>Per quanto concerne l'acquisto ospedaliero di farmaci, la spesa per l’area di Modena è stata pari a €132.072.000 (+6,4%), di cui €105.202.000 per AUSL con NOS. Per migliorare il contenimento della spesa attraverso l’appropriatezza sono stati realizzati incontri con gli Specialisti per la condivisione dei criteri prescrittivi e la programmazione della spesa per gruppi di farmaci ad alto costo (Oncologici, Biologici, HIV, HCV, Farmaci per Sclerosi Multipla, Farmaci OCULISTICI). È stata consolidata la produzione dei report di monitoraggio trimestrali.</w:t>
      </w:r>
    </w:p>
    <w:p w14:paraId="47A94E0A" w14:textId="77777777" w:rsidR="001729FE" w:rsidRDefault="001729FE">
      <w:pPr>
        <w:jc w:val="both"/>
        <w:rPr>
          <w:rFonts w:asciiTheme="minorHAnsi" w:eastAsia="Calibri" w:hAnsiTheme="minorHAnsi"/>
          <w:sz w:val="20"/>
          <w:lang w:eastAsia="en-US"/>
        </w:rPr>
      </w:pPr>
    </w:p>
    <w:p w14:paraId="7F356A5A" w14:textId="77777777" w:rsidR="00E27519" w:rsidRDefault="0003178C">
      <w:pPr>
        <w:pStyle w:val="Titolo3Verdana"/>
        <w:rPr>
          <w:rFonts w:asciiTheme="minorHAnsi" w:eastAsia="Calibri" w:hAnsiTheme="minorHAnsi"/>
        </w:rPr>
      </w:pPr>
      <w:bookmarkStart w:id="37" w:name="_Toc486415645"/>
      <w:r>
        <w:rPr>
          <w:rFonts w:asciiTheme="minorHAnsi" w:eastAsia="Calibri" w:hAnsiTheme="minorHAnsi"/>
        </w:rPr>
        <w:t>5.6 Governo dei dispositivi medici</w:t>
      </w:r>
      <w:bookmarkEnd w:id="37"/>
      <w:r>
        <w:rPr>
          <w:rFonts w:asciiTheme="minorHAnsi" w:eastAsia="Calibri" w:hAnsiTheme="minorHAnsi"/>
        </w:rPr>
        <w:t xml:space="preserve"> </w:t>
      </w:r>
    </w:p>
    <w:p w14:paraId="3F3DFC47" w14:textId="77777777" w:rsidR="00E27519" w:rsidRDefault="0003178C">
      <w:pPr>
        <w:spacing w:after="120"/>
        <w:contextualSpacing/>
        <w:jc w:val="both"/>
        <w:rPr>
          <w:rFonts w:eastAsia="Calibri"/>
          <w:sz w:val="20"/>
          <w:lang w:eastAsia="en-US"/>
        </w:rPr>
      </w:pPr>
      <w:r>
        <w:rPr>
          <w:rFonts w:eastAsia="Calibri"/>
          <w:sz w:val="20"/>
          <w:lang w:eastAsia="en-US"/>
        </w:rPr>
        <w:t xml:space="preserve">Il tasso di copertura del flusso consumi </w:t>
      </w:r>
      <w:proofErr w:type="spellStart"/>
      <w:r>
        <w:rPr>
          <w:rFonts w:eastAsia="Calibri"/>
          <w:sz w:val="20"/>
          <w:lang w:eastAsia="en-US"/>
        </w:rPr>
        <w:t>Di.Me</w:t>
      </w:r>
      <w:proofErr w:type="spellEnd"/>
      <w:r>
        <w:rPr>
          <w:rFonts w:eastAsia="Calibri"/>
          <w:sz w:val="20"/>
          <w:lang w:eastAsia="en-US"/>
        </w:rPr>
        <w:t>. sul conto economico (inclusi in particolare i dispositivi medici diagnostici in vitro e i dispositivi distribuiti sul territorio - assistenza integrativa e protesica)è stato pari al 98% per tutti i DM introdotti in modalità acquisto. Sono da integrare i DM acquistati in service tra cui i DM-IVD di BLU (gestiti da magazzino dedicato).</w:t>
      </w:r>
    </w:p>
    <w:p w14:paraId="6DA9EEFE" w14:textId="1B71FF9A" w:rsidR="00E27519" w:rsidRDefault="0003178C">
      <w:pPr>
        <w:spacing w:after="120"/>
        <w:contextualSpacing/>
        <w:jc w:val="both"/>
        <w:rPr>
          <w:rFonts w:asciiTheme="minorHAnsi" w:eastAsia="Calibri" w:hAnsiTheme="minorHAnsi"/>
          <w:sz w:val="20"/>
          <w:lang w:eastAsia="en-US"/>
        </w:rPr>
      </w:pPr>
      <w:r>
        <w:rPr>
          <w:rFonts w:eastAsia="Calibri"/>
          <w:sz w:val="20"/>
          <w:lang w:eastAsia="en-US"/>
        </w:rPr>
        <w:t xml:space="preserve">È stato effettuato il costante controllo delle richieste di DM in qualità e quantità da parte di reparti e servizi, mostrando che la selezione e le proposte per DM avvengono col miglior rapporto costo-beneficio. </w:t>
      </w:r>
      <w:r w:rsidR="00691BB1">
        <w:rPr>
          <w:rFonts w:eastAsia="Calibri"/>
          <w:sz w:val="20"/>
          <w:lang w:eastAsia="en-US"/>
        </w:rPr>
        <w:t>E’ stato introdotto un c</w:t>
      </w:r>
      <w:r>
        <w:rPr>
          <w:rFonts w:eastAsia="Calibri"/>
          <w:sz w:val="20"/>
          <w:lang w:eastAsia="en-US"/>
        </w:rPr>
        <w:t xml:space="preserve">ostante </w:t>
      </w:r>
      <w:r>
        <w:rPr>
          <w:rFonts w:eastAsia="Calibri"/>
          <w:sz w:val="20"/>
          <w:lang w:eastAsia="en-US"/>
        </w:rPr>
        <w:lastRenderedPageBreak/>
        <w:t>controllo/verifica della completezza dei dati delle anagrafiche (CND e Repertorio) per i prodotti già inseriti</w:t>
      </w:r>
      <w:r w:rsidR="00691BB1">
        <w:rPr>
          <w:rFonts w:eastAsia="Calibri"/>
          <w:sz w:val="20"/>
          <w:lang w:eastAsia="en-US"/>
        </w:rPr>
        <w:t xml:space="preserve"> e come requisito di inserimento </w:t>
      </w:r>
      <w:r>
        <w:rPr>
          <w:rFonts w:eastAsia="Calibri"/>
          <w:sz w:val="20"/>
          <w:lang w:eastAsia="en-US"/>
        </w:rPr>
        <w:t>dei prodotti nuovi.</w:t>
      </w:r>
    </w:p>
    <w:p w14:paraId="2B42808F" w14:textId="219691A4" w:rsidR="00E27519" w:rsidRDefault="00691BB1">
      <w:pPr>
        <w:spacing w:after="120"/>
        <w:contextualSpacing/>
        <w:jc w:val="both"/>
        <w:rPr>
          <w:rFonts w:asciiTheme="minorHAnsi" w:eastAsia="Calibri" w:hAnsiTheme="minorHAnsi"/>
          <w:sz w:val="20"/>
          <w:lang w:eastAsia="en-US"/>
        </w:rPr>
      </w:pPr>
      <w:r>
        <w:rPr>
          <w:rFonts w:asciiTheme="minorHAnsi" w:eastAsia="Calibri" w:hAnsiTheme="minorHAnsi"/>
          <w:sz w:val="20"/>
          <w:lang w:eastAsia="en-US"/>
        </w:rPr>
        <w:t>La s</w:t>
      </w:r>
      <w:r w:rsidR="0003178C">
        <w:rPr>
          <w:rFonts w:asciiTheme="minorHAnsi" w:eastAsia="Calibri" w:hAnsiTheme="minorHAnsi"/>
          <w:sz w:val="20"/>
          <w:lang w:eastAsia="en-US"/>
        </w:rPr>
        <w:t>pesa per dimesso anno 2016</w:t>
      </w:r>
      <w:r>
        <w:rPr>
          <w:rFonts w:asciiTheme="minorHAnsi" w:eastAsia="Calibri" w:hAnsiTheme="minorHAnsi"/>
          <w:sz w:val="20"/>
          <w:lang w:eastAsia="en-US"/>
        </w:rPr>
        <w:t xml:space="preserve"> è stata per l’</w:t>
      </w:r>
      <w:r w:rsidR="0003178C">
        <w:rPr>
          <w:rFonts w:asciiTheme="minorHAnsi" w:eastAsia="Calibri" w:hAnsiTheme="minorHAnsi"/>
          <w:sz w:val="20"/>
          <w:lang w:eastAsia="en-US"/>
        </w:rPr>
        <w:t xml:space="preserve">AUSL </w:t>
      </w:r>
      <w:r>
        <w:rPr>
          <w:rFonts w:asciiTheme="minorHAnsi" w:eastAsia="Calibri" w:hAnsiTheme="minorHAnsi"/>
          <w:sz w:val="20"/>
          <w:lang w:eastAsia="en-US"/>
        </w:rPr>
        <w:t>di €</w:t>
      </w:r>
      <w:r w:rsidR="0003178C">
        <w:rPr>
          <w:rFonts w:asciiTheme="minorHAnsi" w:eastAsia="Calibri" w:hAnsiTheme="minorHAnsi"/>
          <w:sz w:val="20"/>
          <w:lang w:eastAsia="en-US"/>
        </w:rPr>
        <w:t xml:space="preserve">487 </w:t>
      </w:r>
      <w:r>
        <w:rPr>
          <w:rFonts w:asciiTheme="minorHAnsi" w:eastAsia="Calibri" w:hAnsiTheme="minorHAnsi"/>
          <w:sz w:val="20"/>
          <w:lang w:eastAsia="en-US"/>
        </w:rPr>
        <w:t>(invariata rispetto al 2015)</w:t>
      </w:r>
      <w:r w:rsidR="0003178C">
        <w:rPr>
          <w:rFonts w:asciiTheme="minorHAnsi" w:eastAsia="Calibri" w:hAnsiTheme="minorHAnsi"/>
          <w:sz w:val="20"/>
          <w:lang w:eastAsia="en-US"/>
        </w:rPr>
        <w:t xml:space="preserve"> vs </w:t>
      </w:r>
      <w:r>
        <w:rPr>
          <w:rFonts w:asciiTheme="minorHAnsi" w:eastAsia="Calibri" w:hAnsiTheme="minorHAnsi"/>
          <w:sz w:val="20"/>
          <w:lang w:eastAsia="en-US"/>
        </w:rPr>
        <w:t xml:space="preserve">€431 </w:t>
      </w:r>
      <w:r w:rsidR="0003178C">
        <w:rPr>
          <w:rFonts w:asciiTheme="minorHAnsi" w:eastAsia="Calibri" w:hAnsiTheme="minorHAnsi"/>
          <w:sz w:val="20"/>
          <w:lang w:eastAsia="en-US"/>
        </w:rPr>
        <w:t>RER</w:t>
      </w:r>
      <w:r>
        <w:rPr>
          <w:rFonts w:asciiTheme="minorHAnsi" w:eastAsia="Calibri" w:hAnsiTheme="minorHAnsi"/>
          <w:sz w:val="20"/>
          <w:lang w:eastAsia="en-US"/>
        </w:rPr>
        <w:t>: sempre maggiore per l’Azienda, ma in</w:t>
      </w:r>
      <w:r w:rsidR="0003178C">
        <w:rPr>
          <w:rFonts w:asciiTheme="minorHAnsi" w:eastAsia="Calibri" w:hAnsiTheme="minorHAnsi"/>
          <w:sz w:val="20"/>
          <w:lang w:eastAsia="en-US"/>
        </w:rPr>
        <w:t xml:space="preserve"> riduzione della distanza dalla media RER</w:t>
      </w:r>
      <w:r>
        <w:rPr>
          <w:rFonts w:asciiTheme="minorHAnsi" w:eastAsia="Calibri" w:hAnsiTheme="minorHAnsi"/>
          <w:sz w:val="20"/>
          <w:lang w:eastAsia="en-US"/>
        </w:rPr>
        <w:t>:</w:t>
      </w:r>
      <w:r w:rsidR="0003178C">
        <w:rPr>
          <w:rFonts w:asciiTheme="minorHAnsi" w:eastAsia="Calibri" w:hAnsiTheme="minorHAnsi"/>
          <w:sz w:val="20"/>
          <w:lang w:eastAsia="en-US"/>
        </w:rPr>
        <w:t xml:space="preserve"> dal +20% </w:t>
      </w:r>
      <w:r>
        <w:rPr>
          <w:rFonts w:asciiTheme="minorHAnsi" w:eastAsia="Calibri" w:hAnsiTheme="minorHAnsi"/>
          <w:sz w:val="20"/>
          <w:lang w:eastAsia="en-US"/>
        </w:rPr>
        <w:t xml:space="preserve">nel 2015 </w:t>
      </w:r>
      <w:r w:rsidR="0003178C">
        <w:rPr>
          <w:rFonts w:asciiTheme="minorHAnsi" w:eastAsia="Calibri" w:hAnsiTheme="minorHAnsi"/>
          <w:sz w:val="20"/>
          <w:lang w:eastAsia="en-US"/>
        </w:rPr>
        <w:t xml:space="preserve">al +12,9% nel 2016. </w:t>
      </w:r>
      <w:r>
        <w:rPr>
          <w:rFonts w:asciiTheme="minorHAnsi" w:eastAsia="Calibri" w:hAnsiTheme="minorHAnsi"/>
          <w:sz w:val="20"/>
          <w:lang w:eastAsia="en-US"/>
        </w:rPr>
        <w:t xml:space="preserve">La </w:t>
      </w:r>
      <w:r w:rsidR="0003178C">
        <w:rPr>
          <w:rFonts w:asciiTheme="minorHAnsi" w:eastAsia="Calibri" w:hAnsiTheme="minorHAnsi"/>
          <w:sz w:val="20"/>
          <w:lang w:eastAsia="en-US"/>
        </w:rPr>
        <w:t xml:space="preserve">spesa ambulatoriale </w:t>
      </w:r>
      <w:r>
        <w:rPr>
          <w:rFonts w:asciiTheme="minorHAnsi" w:eastAsia="Calibri" w:hAnsiTheme="minorHAnsi"/>
          <w:sz w:val="20"/>
          <w:lang w:eastAsia="en-US"/>
        </w:rPr>
        <w:t xml:space="preserve">è aumentata </w:t>
      </w:r>
      <w:r w:rsidR="0003178C">
        <w:rPr>
          <w:rFonts w:asciiTheme="minorHAnsi" w:eastAsia="Calibri" w:hAnsiTheme="minorHAnsi"/>
          <w:sz w:val="20"/>
          <w:lang w:eastAsia="en-US"/>
        </w:rPr>
        <w:t xml:space="preserve">del 5,5%, </w:t>
      </w:r>
      <w:r>
        <w:rPr>
          <w:rFonts w:asciiTheme="minorHAnsi" w:eastAsia="Calibri" w:hAnsiTheme="minorHAnsi"/>
          <w:sz w:val="20"/>
          <w:lang w:eastAsia="en-US"/>
        </w:rPr>
        <w:t xml:space="preserve">mentre è </w:t>
      </w:r>
      <w:r w:rsidR="0003178C">
        <w:rPr>
          <w:rFonts w:asciiTheme="minorHAnsi" w:eastAsia="Calibri" w:hAnsiTheme="minorHAnsi"/>
          <w:sz w:val="20"/>
          <w:lang w:eastAsia="en-US"/>
        </w:rPr>
        <w:t>diminuita spesa per ricoverati del 1,7%</w:t>
      </w:r>
      <w:r>
        <w:rPr>
          <w:rFonts w:asciiTheme="minorHAnsi" w:eastAsia="Calibri" w:hAnsiTheme="minorHAnsi"/>
          <w:sz w:val="20"/>
          <w:lang w:eastAsia="en-US"/>
        </w:rPr>
        <w:t>, con un c</w:t>
      </w:r>
      <w:r w:rsidR="0003178C">
        <w:rPr>
          <w:rFonts w:asciiTheme="minorHAnsi" w:eastAsia="Calibri" w:hAnsiTheme="minorHAnsi"/>
          <w:sz w:val="20"/>
          <w:lang w:eastAsia="en-US"/>
        </w:rPr>
        <w:t xml:space="preserve">onsuntivo 2016 allineato al 2015. </w:t>
      </w:r>
      <w:r>
        <w:rPr>
          <w:rFonts w:asciiTheme="minorHAnsi" w:eastAsia="Calibri" w:hAnsiTheme="minorHAnsi"/>
          <w:sz w:val="20"/>
          <w:lang w:eastAsia="en-US"/>
        </w:rPr>
        <w:t>Si osserva anche un t</w:t>
      </w:r>
      <w:r w:rsidR="0003178C">
        <w:rPr>
          <w:rFonts w:asciiTheme="minorHAnsi" w:eastAsia="Calibri" w:hAnsiTheme="minorHAnsi"/>
          <w:sz w:val="20"/>
          <w:lang w:eastAsia="en-US"/>
        </w:rPr>
        <w:t>rend in riduzione della distanza dalla media RER attraverso</w:t>
      </w:r>
      <w:r>
        <w:rPr>
          <w:rFonts w:asciiTheme="minorHAnsi" w:eastAsia="Calibri" w:hAnsiTheme="minorHAnsi"/>
          <w:sz w:val="20"/>
          <w:lang w:eastAsia="en-US"/>
        </w:rPr>
        <w:t xml:space="preserve"> la </w:t>
      </w:r>
      <w:r w:rsidR="0003178C">
        <w:rPr>
          <w:rFonts w:asciiTheme="minorHAnsi" w:eastAsia="Calibri" w:hAnsiTheme="minorHAnsi"/>
          <w:sz w:val="20"/>
          <w:lang w:eastAsia="en-US"/>
        </w:rPr>
        <w:t>validazione</w:t>
      </w:r>
      <w:r>
        <w:rPr>
          <w:rFonts w:asciiTheme="minorHAnsi" w:eastAsia="Calibri" w:hAnsiTheme="minorHAnsi"/>
          <w:sz w:val="20"/>
          <w:lang w:eastAsia="en-US"/>
        </w:rPr>
        <w:t xml:space="preserve"> delle richieste di ordini di DM da reparto, ad opera del Dipartimento farmaceutico o dell’Ingegneria Clinica</w:t>
      </w:r>
      <w:r w:rsidR="0003178C">
        <w:rPr>
          <w:rFonts w:asciiTheme="minorHAnsi" w:eastAsia="Calibri" w:hAnsiTheme="minorHAnsi"/>
          <w:sz w:val="20"/>
          <w:lang w:eastAsia="en-US"/>
        </w:rPr>
        <w:t xml:space="preserve">. Inoltre, </w:t>
      </w:r>
      <w:r>
        <w:rPr>
          <w:rFonts w:asciiTheme="minorHAnsi" w:eastAsia="Calibri" w:hAnsiTheme="minorHAnsi"/>
          <w:sz w:val="20"/>
          <w:lang w:eastAsia="en-US"/>
        </w:rPr>
        <w:t xml:space="preserve">sono state </w:t>
      </w:r>
      <w:r w:rsidR="0003178C">
        <w:rPr>
          <w:rFonts w:asciiTheme="minorHAnsi" w:eastAsia="Calibri" w:hAnsiTheme="minorHAnsi"/>
          <w:sz w:val="20"/>
          <w:lang w:eastAsia="en-US"/>
        </w:rPr>
        <w:t xml:space="preserve">attivate nell'anno 2016 alcune gare che hanno portato risparmi come costi unitari (chimici per </w:t>
      </w:r>
      <w:proofErr w:type="spellStart"/>
      <w:r w:rsidR="0003178C">
        <w:rPr>
          <w:rFonts w:asciiTheme="minorHAnsi" w:eastAsia="Calibri" w:hAnsiTheme="minorHAnsi"/>
          <w:sz w:val="20"/>
          <w:lang w:eastAsia="en-US"/>
        </w:rPr>
        <w:t>lavaendoscopi</w:t>
      </w:r>
      <w:proofErr w:type="spellEnd"/>
      <w:r w:rsidR="0003178C">
        <w:rPr>
          <w:rFonts w:asciiTheme="minorHAnsi" w:eastAsia="Calibri" w:hAnsiTheme="minorHAnsi"/>
          <w:sz w:val="20"/>
          <w:lang w:eastAsia="en-US"/>
        </w:rPr>
        <w:t>, etc.).</w:t>
      </w:r>
    </w:p>
    <w:p w14:paraId="318A6BF7" w14:textId="77777777" w:rsidR="00E27519" w:rsidRDefault="00E27519">
      <w:pPr>
        <w:spacing w:after="120"/>
        <w:contextualSpacing/>
        <w:jc w:val="both"/>
        <w:rPr>
          <w:rFonts w:asciiTheme="minorHAnsi" w:eastAsia="Calibri" w:hAnsiTheme="minorHAnsi"/>
          <w:sz w:val="20"/>
          <w:lang w:eastAsia="en-US"/>
        </w:rPr>
      </w:pPr>
    </w:p>
    <w:p w14:paraId="265CB827" w14:textId="77777777" w:rsidR="00E27519" w:rsidRDefault="0003178C">
      <w:pPr>
        <w:pStyle w:val="Titolo3Verdana"/>
        <w:rPr>
          <w:rFonts w:asciiTheme="minorHAnsi" w:eastAsia="Calibri" w:hAnsiTheme="minorHAnsi"/>
        </w:rPr>
      </w:pPr>
      <w:bookmarkStart w:id="38" w:name="_Toc486415646"/>
      <w:r>
        <w:rPr>
          <w:rFonts w:asciiTheme="minorHAnsi" w:eastAsia="Calibri" w:hAnsiTheme="minorHAnsi"/>
        </w:rPr>
        <w:t>5.7 Laboratorio Centralizzato Farmaci Antiblastici</w:t>
      </w:r>
      <w:bookmarkEnd w:id="38"/>
    </w:p>
    <w:p w14:paraId="4E116657" w14:textId="77777777" w:rsidR="00E27519" w:rsidRDefault="0003178C">
      <w:pPr>
        <w:spacing w:before="0"/>
        <w:jc w:val="both"/>
        <w:rPr>
          <w:rFonts w:eastAsia="Calibri"/>
          <w:sz w:val="20"/>
          <w:lang w:eastAsia="en-US"/>
        </w:rPr>
      </w:pPr>
      <w:r>
        <w:rPr>
          <w:rFonts w:eastAsia="Calibri"/>
          <w:sz w:val="20"/>
          <w:lang w:eastAsia="en-US"/>
        </w:rPr>
        <w:t>Il 20 ottobre 2016, presso l'Ospedale a Carpi, è stata inaugurato il Laboratorio Centralizzato Farmaci Antiblastici. Tale struttura è in grado di garantire la produzione centralizzata di farmaci oncologici e preparazioni galeniche per l'intera Ausl di Modena e per l'Ospedale di Sassuolo. Un volume di attività pari a 60 terapie al giorno e a 35 mila preparazioni endovenose ogni anno (di cui 20 mila contenenti farmaci oncologici).</w:t>
      </w:r>
    </w:p>
    <w:p w14:paraId="0C8FFDF6" w14:textId="77777777" w:rsidR="00E27519" w:rsidRDefault="0003178C">
      <w:pPr>
        <w:spacing w:before="0"/>
        <w:jc w:val="both"/>
        <w:rPr>
          <w:rFonts w:eastAsia="Calibri"/>
          <w:sz w:val="20"/>
          <w:lang w:eastAsia="en-US"/>
        </w:rPr>
      </w:pPr>
      <w:r>
        <w:rPr>
          <w:rFonts w:eastAsia="Calibri"/>
          <w:sz w:val="20"/>
          <w:lang w:eastAsia="en-US"/>
        </w:rPr>
        <w:t xml:space="preserve">La Centrale risponde agli standard europei richiesti per i locali adibiti alla preparazione di composti sterili (dove sono controllare costantemente ventilazione, areazione e procedure operative), permette di allestire in massima sicurezza farmaci ad altissimo costo, riducendo al minimo i residui di produzione e quindi degli sprechi, che possono essere reinvestiti in altri farmaci ad alto costo. </w:t>
      </w:r>
    </w:p>
    <w:p w14:paraId="0B0E7E7E" w14:textId="77777777" w:rsidR="00E27519" w:rsidRDefault="0003178C">
      <w:pPr>
        <w:spacing w:before="0"/>
        <w:jc w:val="both"/>
        <w:rPr>
          <w:rFonts w:eastAsia="Calibri"/>
          <w:sz w:val="20"/>
          <w:lang w:eastAsia="en-US"/>
        </w:rPr>
      </w:pPr>
      <w:r>
        <w:rPr>
          <w:rFonts w:eastAsia="Calibri"/>
          <w:sz w:val="20"/>
          <w:lang w:eastAsia="en-US"/>
        </w:rPr>
        <w:t>Il medico prescrive lo schema chemioterapico del paziente. La prescrizione viene validata dal farmacista, che provvede all'elaborazione delle indicazioni necessarie all'operatore tecnico per effettuare l'allestimento della terapia. A questo punto la terapia viene conservata in speciali frigoriferi per essere spedita alla struttura per la somministrazione al paziente.</w:t>
      </w:r>
    </w:p>
    <w:p w14:paraId="46175D1F" w14:textId="77777777" w:rsidR="00E27519" w:rsidRDefault="0003178C">
      <w:pPr>
        <w:suppressAutoHyphens w:val="0"/>
        <w:spacing w:before="0"/>
        <w:rPr>
          <w:rFonts w:asciiTheme="minorHAnsi" w:eastAsia="Calibri" w:hAnsiTheme="minorHAnsi"/>
          <w:sz w:val="20"/>
          <w:lang w:eastAsia="en-US"/>
        </w:rPr>
      </w:pPr>
      <w:r>
        <w:rPr>
          <w:rFonts w:asciiTheme="minorHAnsi" w:eastAsia="Calibri" w:hAnsiTheme="minorHAnsi"/>
          <w:sz w:val="20"/>
          <w:lang w:eastAsia="en-US"/>
        </w:rPr>
        <w:br w:type="page"/>
      </w:r>
    </w:p>
    <w:p w14:paraId="095C54B1" w14:textId="77777777" w:rsidR="00E27519" w:rsidRDefault="0003178C">
      <w:pPr>
        <w:pStyle w:val="Titolo2"/>
        <w:numPr>
          <w:ilvl w:val="1"/>
          <w:numId w:val="6"/>
        </w:numPr>
      </w:pPr>
      <w:bookmarkStart w:id="39" w:name="_Toc486415647"/>
      <w:r>
        <w:lastRenderedPageBreak/>
        <w:t>6 Politiche di controllo, misurazione, valutazione e rendicontazione interna ed esterna</w:t>
      </w:r>
      <w:bookmarkEnd w:id="39"/>
    </w:p>
    <w:p w14:paraId="3629C964" w14:textId="77777777" w:rsidR="00E27519" w:rsidRDefault="0003178C">
      <w:pPr>
        <w:spacing w:before="0"/>
        <w:jc w:val="both"/>
        <w:rPr>
          <w:rFonts w:eastAsia="Calibri"/>
          <w:sz w:val="20"/>
          <w:lang w:eastAsia="en-US"/>
        </w:rPr>
      </w:pPr>
      <w:r>
        <w:rPr>
          <w:rFonts w:eastAsia="Calibri"/>
          <w:sz w:val="20"/>
          <w:lang w:eastAsia="en-US"/>
        </w:rPr>
        <w:t xml:space="preserve">In quest’area sono comprese le attività con cui monitorare, misurare e valutare sinteticamente il contributo delle diverse componenti alla capacità aziendale di raggiungimento degli obiettivi attraverso indicatori quantitativi. </w:t>
      </w:r>
    </w:p>
    <w:p w14:paraId="7C1FD8EA" w14:textId="77777777" w:rsidR="00E27519" w:rsidRDefault="0003178C">
      <w:pPr>
        <w:spacing w:before="0"/>
        <w:jc w:val="both"/>
        <w:rPr>
          <w:rFonts w:eastAsia="Calibri"/>
          <w:sz w:val="20"/>
          <w:lang w:eastAsia="en-US"/>
        </w:rPr>
      </w:pPr>
      <w:r>
        <w:rPr>
          <w:rFonts w:eastAsia="Calibri"/>
          <w:sz w:val="20"/>
          <w:lang w:eastAsia="en-US"/>
        </w:rPr>
        <w:t>Per rendere uniformi su tutto il territorio Regionale le linee programmatiche ed il loro monitoraggio, la Direzione Generale cura della persona, salute e welfare della Regione Emilia Romagna, in collaborazione con l'Organismo Indipendente di Valutazione (OIV-SSR), ha individuato un set di circa 80 indicatori per i quali è previsto un aggiornamento annuale.</w:t>
      </w:r>
    </w:p>
    <w:p w14:paraId="6CD1962C" w14:textId="77777777" w:rsidR="00E27519" w:rsidRDefault="0003178C">
      <w:pPr>
        <w:spacing w:before="0"/>
        <w:jc w:val="both"/>
        <w:rPr>
          <w:rFonts w:eastAsia="Calibri"/>
          <w:sz w:val="20"/>
          <w:lang w:eastAsia="en-US"/>
        </w:rPr>
      </w:pPr>
      <w:r>
        <w:rPr>
          <w:rFonts w:eastAsia="Calibri"/>
          <w:sz w:val="20"/>
          <w:lang w:eastAsia="en-US"/>
        </w:rPr>
        <w:t>La Matrice degli indicatori del Piano della Performance mostra l'elenco di tutti indicatori calcolati - suddivisi per Dimensioni e Aree della Performance - per ciascuna Azienda Sanitaria e per la Regione. La legenda di lettura è la seguente: Rosso – Pessimo; Arancione – Scarso; Giallo – Medio; Verdino – Buono; Verde – Ottimo; Viola – Non Aggiustato; Blu – In osservazione; Grigio – Dato non disponibile.</w:t>
      </w:r>
    </w:p>
    <w:p w14:paraId="6B85B56E" w14:textId="4C59E6DA" w:rsidR="00E27519" w:rsidRDefault="0003178C" w:rsidP="000E53FB">
      <w:pPr>
        <w:spacing w:before="0"/>
        <w:jc w:val="both"/>
        <w:rPr>
          <w:rFonts w:eastAsia="Calibri"/>
          <w:sz w:val="20"/>
          <w:lang w:eastAsia="en-US"/>
        </w:rPr>
      </w:pPr>
      <w:r>
        <w:rPr>
          <w:rFonts w:eastAsia="Calibri"/>
          <w:sz w:val="20"/>
          <w:lang w:eastAsia="en-US"/>
        </w:rPr>
        <w:t>Una ripresa e commento di tali dati è presente nel Piano della Performance 2016-18 (</w:t>
      </w:r>
      <w:hyperlink r:id="rId25">
        <w:r>
          <w:rPr>
            <w:rFonts w:eastAsia="Calibri"/>
            <w:sz w:val="20"/>
            <w:lang w:eastAsia="en-US"/>
          </w:rPr>
          <w:t>http://www.ausl.mo.it/flex/cm/pages/ServeBLOB.php/L/IT/IDPagina/9788</w:t>
        </w:r>
      </w:hyperlink>
      <w:r w:rsidR="000E53FB">
        <w:rPr>
          <w:rFonts w:eastAsia="Calibri"/>
          <w:sz w:val="20"/>
          <w:lang w:eastAsia="en-US"/>
        </w:rPr>
        <w:t>).</w:t>
      </w:r>
    </w:p>
    <w:p w14:paraId="128AD898" w14:textId="43E2D3B4" w:rsidR="00FF5274" w:rsidRDefault="00782901" w:rsidP="00782901">
      <w:pPr>
        <w:spacing w:after="120"/>
        <w:contextualSpacing/>
        <w:jc w:val="both"/>
        <w:rPr>
          <w:rFonts w:eastAsia="Calibri"/>
          <w:sz w:val="20"/>
          <w:lang w:eastAsia="en-US"/>
        </w:rPr>
      </w:pPr>
      <w:r>
        <w:rPr>
          <w:sz w:val="20"/>
        </w:rPr>
        <w:t xml:space="preserve">Per SIVER, </w:t>
      </w:r>
      <w:r>
        <w:rPr>
          <w:rFonts w:eastAsia="Calibri"/>
          <w:sz w:val="20"/>
          <w:lang w:eastAsia="en-US"/>
        </w:rPr>
        <w:t xml:space="preserve">il posizionamento dell’Azienda viene valutato secondo le dimensioni dell’Accesso e domanda, dell’Integrazione, degli Esiti (al momento ancora solo come indicatori osservazionali </w:t>
      </w:r>
      <w:r w:rsidR="00FF5274">
        <w:rPr>
          <w:rFonts w:eastAsia="Calibri"/>
          <w:sz w:val="20"/>
          <w:lang w:eastAsia="en-US"/>
        </w:rPr>
        <w:t>o</w:t>
      </w:r>
      <w:r>
        <w:rPr>
          <w:rFonts w:eastAsia="Calibri"/>
          <w:sz w:val="20"/>
          <w:lang w:eastAsia="en-US"/>
        </w:rPr>
        <w:t xml:space="preserve"> non </w:t>
      </w:r>
      <w:r w:rsidR="00FF5274">
        <w:rPr>
          <w:rFonts w:eastAsia="Calibri"/>
          <w:sz w:val="20"/>
          <w:lang w:eastAsia="en-US"/>
        </w:rPr>
        <w:t>aggiustati, quindi non valutati</w:t>
      </w:r>
      <w:r>
        <w:rPr>
          <w:rFonts w:eastAsia="Calibri"/>
          <w:sz w:val="20"/>
          <w:lang w:eastAsia="en-US"/>
        </w:rPr>
        <w:t xml:space="preserve">) della Produzione (suddivisa tra Ospedale, Territorio e Prevenzione), Appropriatezza, Qualità, Sicurezza e Rischio Clinico, Organizzazione, Anticorruzione-Trasparenza e Sostenibilità Economico-Finanziaria, con un totale di 78 indicatori applicabili all’Azienda. </w:t>
      </w:r>
    </w:p>
    <w:p w14:paraId="746DD830" w14:textId="77777777" w:rsidR="00FF5274" w:rsidRDefault="00782901" w:rsidP="00782901">
      <w:pPr>
        <w:spacing w:after="120"/>
        <w:contextualSpacing/>
        <w:jc w:val="both"/>
        <w:rPr>
          <w:rFonts w:eastAsia="Calibri"/>
          <w:sz w:val="20"/>
          <w:lang w:eastAsia="en-US"/>
        </w:rPr>
      </w:pPr>
      <w:r>
        <w:rPr>
          <w:rFonts w:eastAsia="Calibri"/>
          <w:sz w:val="20"/>
          <w:lang w:eastAsia="en-US"/>
        </w:rPr>
        <w:t xml:space="preserve">Di questi, 40 sono osservazionali o ancora con dati non </w:t>
      </w:r>
      <w:r w:rsidR="00FF5274">
        <w:rPr>
          <w:rFonts w:eastAsia="Calibri"/>
          <w:sz w:val="20"/>
          <w:lang w:eastAsia="en-US"/>
        </w:rPr>
        <w:t xml:space="preserve">aggiustati </w:t>
      </w:r>
      <w:r>
        <w:rPr>
          <w:rFonts w:eastAsia="Calibri"/>
          <w:sz w:val="20"/>
          <w:lang w:eastAsia="en-US"/>
        </w:rPr>
        <w:t xml:space="preserve">e quindi non ne viene data una valutazione. </w:t>
      </w:r>
    </w:p>
    <w:p w14:paraId="18DCE855" w14:textId="77777777" w:rsidR="00FF5274" w:rsidRDefault="00FF5274" w:rsidP="00782901">
      <w:pPr>
        <w:spacing w:after="120"/>
        <w:contextualSpacing/>
        <w:jc w:val="both"/>
        <w:rPr>
          <w:rFonts w:eastAsia="Calibri"/>
          <w:sz w:val="20"/>
          <w:lang w:eastAsia="en-US"/>
        </w:rPr>
      </w:pPr>
    </w:p>
    <w:p w14:paraId="580B94F8" w14:textId="350B9842" w:rsidR="00782901" w:rsidRDefault="00782901" w:rsidP="00782901">
      <w:pPr>
        <w:spacing w:after="120"/>
        <w:contextualSpacing/>
        <w:jc w:val="both"/>
        <w:rPr>
          <w:rFonts w:eastAsia="Calibri"/>
          <w:sz w:val="20"/>
          <w:lang w:eastAsia="en-US"/>
        </w:rPr>
      </w:pPr>
      <w:r>
        <w:rPr>
          <w:rFonts w:eastAsia="Calibri"/>
          <w:sz w:val="20"/>
          <w:lang w:eastAsia="en-US"/>
        </w:rPr>
        <w:t>La valutazione sintetica ottenuta dall’Azienda sui rimanenti 38 indicatori è molto positiva e in sintesi è la seguente:</w:t>
      </w:r>
    </w:p>
    <w:p w14:paraId="4F5ECD2D" w14:textId="77777777" w:rsidR="00782901" w:rsidRDefault="00782901">
      <w:pPr>
        <w:spacing w:before="0"/>
        <w:jc w:val="both"/>
        <w:rPr>
          <w:rFonts w:eastAsia="Calibri"/>
          <w:sz w:val="20"/>
          <w:lang w:eastAsia="en-US"/>
        </w:rPr>
      </w:pPr>
    </w:p>
    <w:p w14:paraId="02F22473" w14:textId="185D01EF" w:rsidR="00782901" w:rsidRDefault="00782901" w:rsidP="00782901">
      <w:pPr>
        <w:spacing w:before="0"/>
        <w:jc w:val="center"/>
        <w:rPr>
          <w:rFonts w:eastAsia="Calibri"/>
          <w:sz w:val="20"/>
          <w:lang w:eastAsia="en-US"/>
        </w:rPr>
      </w:pPr>
      <w:r>
        <w:rPr>
          <w:noProof/>
          <w:lang w:eastAsia="it-IT" w:bidi="ar-SA"/>
        </w:rPr>
        <w:drawing>
          <wp:inline distT="0" distB="0" distL="0" distR="0" wp14:anchorId="431FEEB6" wp14:editId="47E155C2">
            <wp:extent cx="4572000" cy="2743200"/>
            <wp:effectExtent l="0" t="0" r="0"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6CEEE0" w14:textId="77777777" w:rsidR="00782901" w:rsidRDefault="00782901">
      <w:pPr>
        <w:spacing w:before="0"/>
        <w:jc w:val="both"/>
        <w:rPr>
          <w:rFonts w:eastAsia="Calibri"/>
          <w:sz w:val="20"/>
          <w:lang w:eastAsia="en-US"/>
        </w:rPr>
      </w:pPr>
    </w:p>
    <w:p w14:paraId="038E2C9C" w14:textId="595DC1C6" w:rsidR="00E27519" w:rsidRDefault="0003178C">
      <w:pPr>
        <w:spacing w:before="0"/>
        <w:jc w:val="both"/>
        <w:rPr>
          <w:rFonts w:eastAsia="Calibri"/>
          <w:sz w:val="20"/>
          <w:lang w:eastAsia="en-US"/>
        </w:rPr>
      </w:pPr>
      <w:r>
        <w:rPr>
          <w:rFonts w:eastAsia="Calibri"/>
          <w:sz w:val="20"/>
          <w:lang w:eastAsia="en-US"/>
        </w:rPr>
        <w:t xml:space="preserve">Nel seguito viene proposta una lettura </w:t>
      </w:r>
      <w:r w:rsidR="000E53FB">
        <w:rPr>
          <w:rFonts w:eastAsia="Calibri"/>
          <w:sz w:val="20"/>
          <w:lang w:eastAsia="en-US"/>
        </w:rPr>
        <w:t xml:space="preserve">di dettaglio degli </w:t>
      </w:r>
      <w:r>
        <w:rPr>
          <w:rFonts w:eastAsia="Calibri"/>
          <w:sz w:val="20"/>
          <w:lang w:eastAsia="en-US"/>
        </w:rPr>
        <w:t>indicatori, che evidenzia i punti di forza ma anche quelli di attenzione, il cui livello richiede azioni di miglioramento specifico.</w:t>
      </w:r>
    </w:p>
    <w:p w14:paraId="005202AA" w14:textId="77777777" w:rsidR="00E27519" w:rsidRDefault="00E27519">
      <w:pPr>
        <w:suppressAutoHyphens w:val="0"/>
        <w:spacing w:before="0"/>
        <w:jc w:val="both"/>
        <w:rPr>
          <w:rFonts w:asciiTheme="minorHAnsi" w:eastAsia="Calibri" w:hAnsiTheme="minorHAnsi"/>
          <w:sz w:val="20"/>
          <w:lang w:eastAsia="en-US"/>
        </w:rPr>
      </w:pPr>
    </w:p>
    <w:p w14:paraId="653CEAC1" w14:textId="77777777" w:rsidR="00E27519" w:rsidRDefault="0003178C">
      <w:pPr>
        <w:spacing w:before="0"/>
        <w:jc w:val="both"/>
        <w:rPr>
          <w:rFonts w:ascii="Cambria" w:hAnsi="Cambria" w:cs="Cambria"/>
          <w:b/>
          <w:smallCaps/>
          <w:sz w:val="26"/>
        </w:rPr>
      </w:pPr>
      <w:r>
        <w:br w:type="page"/>
      </w:r>
    </w:p>
    <w:p w14:paraId="6D06D464" w14:textId="77777777" w:rsidR="00E27519" w:rsidRDefault="0003178C">
      <w:pPr>
        <w:pStyle w:val="Titolo3Verdana"/>
        <w:rPr>
          <w:rFonts w:asciiTheme="minorHAnsi" w:eastAsia="Calibri" w:hAnsiTheme="minorHAnsi"/>
          <w:lang w:val="it-IT"/>
        </w:rPr>
      </w:pPr>
      <w:bookmarkStart w:id="40" w:name="_Toc486415648"/>
      <w:r>
        <w:rPr>
          <w:rFonts w:asciiTheme="minorHAnsi" w:eastAsia="Calibri" w:hAnsiTheme="minorHAnsi"/>
          <w:lang w:val="it-IT"/>
        </w:rPr>
        <w:lastRenderedPageBreak/>
        <w:t>6</w:t>
      </w:r>
      <w:r>
        <w:rPr>
          <w:rFonts w:asciiTheme="minorHAnsi" w:eastAsia="Calibri" w:hAnsiTheme="minorHAnsi"/>
        </w:rPr>
        <w:t>.1 Sistema di valutazione SIVER</w:t>
      </w:r>
      <w:r>
        <w:rPr>
          <w:rFonts w:asciiTheme="minorHAnsi" w:eastAsia="Calibri" w:hAnsiTheme="minorHAnsi"/>
          <w:lang w:val="it-IT"/>
        </w:rPr>
        <w:t>: analisi per singole aree</w:t>
      </w:r>
      <w:bookmarkEnd w:id="40"/>
    </w:p>
    <w:p w14:paraId="3A0EE63B" w14:textId="62E4B6F5" w:rsidR="00E27519" w:rsidRDefault="0003178C">
      <w:pPr>
        <w:spacing w:after="120"/>
        <w:contextualSpacing/>
        <w:jc w:val="both"/>
        <w:rPr>
          <w:rFonts w:eastAsia="Calibri"/>
          <w:sz w:val="20"/>
          <w:lang w:eastAsia="en-US"/>
        </w:rPr>
      </w:pPr>
      <w:r>
        <w:rPr>
          <w:rFonts w:eastAsia="Calibri"/>
          <w:sz w:val="20"/>
          <w:lang w:eastAsia="en-US"/>
        </w:rPr>
        <w:t>Il 19 giugno 2017 sono stati pubblicati dalla RER i nuovi indicatori 2016</w:t>
      </w:r>
      <w:r w:rsidR="000E53FB">
        <w:rPr>
          <w:rFonts w:eastAsia="Calibri"/>
          <w:sz w:val="20"/>
          <w:lang w:eastAsia="en-US"/>
        </w:rPr>
        <w:t xml:space="preserve"> aggiornati e comprensivi della</w:t>
      </w:r>
      <w:r>
        <w:rPr>
          <w:rFonts w:eastAsia="Calibri"/>
          <w:sz w:val="20"/>
          <w:lang w:eastAsia="en-US"/>
        </w:rPr>
        <w:t xml:space="preserve"> mobilità passiva extraregionale.</w:t>
      </w:r>
    </w:p>
    <w:p w14:paraId="68A34078" w14:textId="77777777" w:rsidR="00E27519" w:rsidRDefault="00E27519">
      <w:pPr>
        <w:spacing w:after="120"/>
        <w:contextualSpacing/>
        <w:jc w:val="both"/>
        <w:rPr>
          <w:rFonts w:eastAsia="Calibri"/>
          <w:sz w:val="20"/>
          <w:lang w:eastAsia="en-US"/>
        </w:rPr>
      </w:pPr>
    </w:p>
    <w:p w14:paraId="59ED3008" w14:textId="77777777" w:rsidR="00E27519" w:rsidRDefault="0003178C">
      <w:pPr>
        <w:spacing w:after="120"/>
        <w:contextualSpacing/>
        <w:jc w:val="both"/>
        <w:rPr>
          <w:rFonts w:eastAsia="Calibri"/>
          <w:sz w:val="20"/>
          <w:lang w:eastAsia="en-US"/>
        </w:rPr>
      </w:pPr>
      <w:r>
        <w:rPr>
          <w:rFonts w:eastAsia="Calibri"/>
          <w:sz w:val="20"/>
          <w:lang w:eastAsia="en-US"/>
        </w:rPr>
        <w:t>La prima dimensione del sistema di valutazione SIVER, riguardante l’accesso e la domanda, mostra un andamento dell’Azienda USL di Modena positivo per tutti gli indicatori di monitoraggio.</w:t>
      </w:r>
    </w:p>
    <w:p w14:paraId="7B588715" w14:textId="77777777" w:rsidR="00E27519" w:rsidRDefault="00E27519">
      <w:pPr>
        <w:spacing w:after="120"/>
        <w:contextualSpacing/>
        <w:jc w:val="both"/>
        <w:rPr>
          <w:rFonts w:eastAsia="Calibri"/>
          <w:sz w:val="20"/>
          <w:lang w:eastAsia="en-US"/>
        </w:rPr>
      </w:pPr>
    </w:p>
    <w:p w14:paraId="0E432B37" w14:textId="77777777" w:rsidR="00E27519" w:rsidRDefault="0003178C">
      <w:pPr>
        <w:spacing w:after="120"/>
        <w:contextualSpacing/>
        <w:jc w:val="both"/>
        <w:rPr>
          <w:rFonts w:eastAsia="Calibri"/>
          <w:sz w:val="20"/>
          <w:lang w:eastAsia="en-US"/>
        </w:rPr>
      </w:pPr>
      <w:r>
        <w:rPr>
          <w:rFonts w:eastAsia="Calibri"/>
          <w:sz w:val="20"/>
          <w:lang w:eastAsia="en-US"/>
        </w:rPr>
        <w:t>Accesso e Domanda</w:t>
      </w:r>
    </w:p>
    <w:tbl>
      <w:tblPr>
        <w:tblW w:w="10840" w:type="dxa"/>
        <w:jc w:val="center"/>
        <w:tblLayout w:type="fixed"/>
        <w:tblCellMar>
          <w:left w:w="70" w:type="dxa"/>
          <w:right w:w="70" w:type="dxa"/>
        </w:tblCellMar>
        <w:tblLook w:val="04A0" w:firstRow="1" w:lastRow="0" w:firstColumn="1" w:lastColumn="0" w:noHBand="0" w:noVBand="1"/>
      </w:tblPr>
      <w:tblGrid>
        <w:gridCol w:w="5459"/>
        <w:gridCol w:w="699"/>
        <w:gridCol w:w="1769"/>
        <w:gridCol w:w="937"/>
        <w:gridCol w:w="1099"/>
        <w:gridCol w:w="877"/>
      </w:tblGrid>
      <w:tr w:rsidR="00E27519" w14:paraId="415A7E19" w14:textId="77777777">
        <w:trPr>
          <w:trHeight w:val="377"/>
          <w:jc w:val="center"/>
        </w:trPr>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14:paraId="41DD96C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Indicatore</w:t>
            </w:r>
          </w:p>
        </w:tc>
        <w:tc>
          <w:tcPr>
            <w:tcW w:w="699" w:type="dxa"/>
            <w:tcBorders>
              <w:top w:val="single" w:sz="2" w:space="0" w:color="auto"/>
              <w:left w:val="nil"/>
              <w:bottom w:val="single" w:sz="2" w:space="0" w:color="auto"/>
              <w:right w:val="single" w:sz="2" w:space="0" w:color="auto"/>
            </w:tcBorders>
            <w:shd w:val="clear" w:color="auto" w:fill="auto"/>
            <w:vAlign w:val="center"/>
          </w:tcPr>
          <w:p w14:paraId="6CED1F4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5FD7188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769" w:type="dxa"/>
            <w:tcBorders>
              <w:top w:val="single" w:sz="4" w:space="0" w:color="auto"/>
              <w:left w:val="nil"/>
              <w:bottom w:val="single" w:sz="4" w:space="0" w:color="auto"/>
              <w:right w:val="single" w:sz="4" w:space="0" w:color="auto"/>
            </w:tcBorders>
            <w:shd w:val="clear" w:color="auto" w:fill="auto"/>
            <w:vAlign w:val="center"/>
          </w:tcPr>
          <w:p w14:paraId="59D5C6F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937" w:type="dxa"/>
            <w:tcBorders>
              <w:top w:val="single" w:sz="4" w:space="0" w:color="auto"/>
              <w:left w:val="nil"/>
              <w:bottom w:val="single" w:sz="4" w:space="0" w:color="auto"/>
              <w:right w:val="single" w:sz="4" w:space="0" w:color="auto"/>
            </w:tcBorders>
            <w:shd w:val="clear" w:color="auto" w:fill="auto"/>
            <w:vAlign w:val="center"/>
          </w:tcPr>
          <w:p w14:paraId="793FDC1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21EAFB5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99" w:type="dxa"/>
            <w:tcBorders>
              <w:top w:val="single" w:sz="4" w:space="0" w:color="auto"/>
              <w:left w:val="nil"/>
              <w:bottom w:val="single" w:sz="4" w:space="0" w:color="auto"/>
              <w:right w:val="single" w:sz="4" w:space="0" w:color="auto"/>
            </w:tcBorders>
            <w:shd w:val="clear" w:color="auto" w:fill="auto"/>
            <w:vAlign w:val="center"/>
          </w:tcPr>
          <w:p w14:paraId="4EB990E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3FF996C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877" w:type="dxa"/>
            <w:tcBorders>
              <w:top w:val="single" w:sz="4" w:space="0" w:color="auto"/>
              <w:left w:val="nil"/>
              <w:bottom w:val="single" w:sz="4" w:space="0" w:color="auto"/>
              <w:right w:val="single" w:sz="4" w:space="0" w:color="auto"/>
            </w:tcBorders>
            <w:shd w:val="clear" w:color="auto" w:fill="auto"/>
            <w:vAlign w:val="center"/>
          </w:tcPr>
          <w:p w14:paraId="651A69D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3F50F41D" w14:textId="77777777">
        <w:trPr>
          <w:trHeight w:val="440"/>
          <w:jc w:val="center"/>
        </w:trPr>
        <w:tc>
          <w:tcPr>
            <w:tcW w:w="5459" w:type="dxa"/>
            <w:tcBorders>
              <w:top w:val="nil"/>
              <w:left w:val="single" w:sz="4" w:space="0" w:color="auto"/>
              <w:bottom w:val="single" w:sz="4" w:space="0" w:color="auto"/>
              <w:right w:val="single" w:sz="4" w:space="0" w:color="auto"/>
            </w:tcBorders>
            <w:shd w:val="clear" w:color="auto" w:fill="auto"/>
            <w:vAlign w:val="center"/>
          </w:tcPr>
          <w:p w14:paraId="47A452A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Tasso </w:t>
            </w:r>
            <w:proofErr w:type="spellStart"/>
            <w:r>
              <w:rPr>
                <w:rFonts w:asciiTheme="minorHAnsi" w:hAnsiTheme="minorHAnsi" w:cs="Times New Roman"/>
                <w:color w:val="000000"/>
                <w:sz w:val="20"/>
                <w:lang w:eastAsia="it-IT" w:bidi="ar-SA"/>
              </w:rPr>
              <w:t>std</w:t>
            </w:r>
            <w:proofErr w:type="spellEnd"/>
            <w:r>
              <w:rPr>
                <w:rFonts w:asciiTheme="minorHAnsi" w:hAnsiTheme="minorHAnsi" w:cs="Times New Roman"/>
                <w:color w:val="000000"/>
                <w:sz w:val="20"/>
                <w:lang w:eastAsia="it-IT" w:bidi="ar-SA"/>
              </w:rPr>
              <w:t xml:space="preserve"> di ospedalizzazione (ordinario e diurno) x 1.000 residenti - GRIGLIA LEA</w:t>
            </w:r>
          </w:p>
        </w:tc>
        <w:tc>
          <w:tcPr>
            <w:tcW w:w="699" w:type="dxa"/>
            <w:tcBorders>
              <w:top w:val="nil"/>
              <w:left w:val="nil"/>
              <w:bottom w:val="single" w:sz="4" w:space="0" w:color="auto"/>
              <w:right w:val="single" w:sz="4" w:space="0" w:color="auto"/>
            </w:tcBorders>
            <w:shd w:val="clear" w:color="auto" w:fill="auto"/>
            <w:vAlign w:val="center"/>
          </w:tcPr>
          <w:p w14:paraId="0602EA9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137,9</w:t>
            </w:r>
          </w:p>
        </w:tc>
        <w:tc>
          <w:tcPr>
            <w:tcW w:w="1769" w:type="dxa"/>
            <w:tcBorders>
              <w:top w:val="nil"/>
              <w:left w:val="nil"/>
              <w:bottom w:val="single" w:sz="4" w:space="0" w:color="auto"/>
              <w:right w:val="single" w:sz="4" w:space="0" w:color="auto"/>
            </w:tcBorders>
            <w:shd w:val="clear" w:color="auto" w:fill="auto"/>
            <w:vAlign w:val="center"/>
          </w:tcPr>
          <w:p w14:paraId="38EF7A1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139,78</w:t>
            </w:r>
          </w:p>
        </w:tc>
        <w:tc>
          <w:tcPr>
            <w:tcW w:w="937" w:type="dxa"/>
            <w:tcBorders>
              <w:top w:val="nil"/>
              <w:left w:val="nil"/>
              <w:bottom w:val="single" w:sz="4" w:space="0" w:color="auto"/>
              <w:right w:val="single" w:sz="4" w:space="0" w:color="auto"/>
            </w:tcBorders>
            <w:shd w:val="clear" w:color="auto" w:fill="auto"/>
            <w:vAlign w:val="center"/>
          </w:tcPr>
          <w:p w14:paraId="562C14F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137,77</w:t>
            </w:r>
          </w:p>
        </w:tc>
        <w:tc>
          <w:tcPr>
            <w:tcW w:w="1099" w:type="dxa"/>
            <w:tcBorders>
              <w:top w:val="nil"/>
              <w:left w:val="nil"/>
              <w:bottom w:val="single" w:sz="4" w:space="0" w:color="auto"/>
              <w:right w:val="single" w:sz="4" w:space="0" w:color="auto"/>
            </w:tcBorders>
            <w:shd w:val="clear" w:color="000000" w:fill="00B050"/>
            <w:vAlign w:val="bottom"/>
          </w:tcPr>
          <w:p w14:paraId="742CC8D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877" w:type="dxa"/>
            <w:tcBorders>
              <w:top w:val="nil"/>
              <w:left w:val="nil"/>
              <w:bottom w:val="single" w:sz="4" w:space="0" w:color="auto"/>
              <w:right w:val="single" w:sz="4" w:space="0" w:color="auto"/>
            </w:tcBorders>
            <w:shd w:val="clear" w:color="auto" w:fill="auto"/>
            <w:vAlign w:val="center"/>
          </w:tcPr>
          <w:p w14:paraId="752248D4"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2CB8BE3C" w14:textId="77777777">
        <w:trPr>
          <w:trHeight w:val="235"/>
          <w:jc w:val="center"/>
        </w:trPr>
        <w:tc>
          <w:tcPr>
            <w:tcW w:w="5459" w:type="dxa"/>
            <w:tcBorders>
              <w:top w:val="nil"/>
              <w:left w:val="single" w:sz="4" w:space="0" w:color="auto"/>
              <w:bottom w:val="single" w:sz="4" w:space="0" w:color="auto"/>
              <w:right w:val="single" w:sz="4" w:space="0" w:color="auto"/>
            </w:tcBorders>
            <w:shd w:val="clear" w:color="auto" w:fill="auto"/>
            <w:vAlign w:val="center"/>
          </w:tcPr>
          <w:p w14:paraId="1FB1C33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Tempi di attesa ex ante primi accessi: n. visite prospettate in sede di prenotazione entro i 30 gg</w:t>
            </w:r>
          </w:p>
        </w:tc>
        <w:tc>
          <w:tcPr>
            <w:tcW w:w="699" w:type="dxa"/>
            <w:tcBorders>
              <w:top w:val="nil"/>
              <w:left w:val="nil"/>
              <w:bottom w:val="single" w:sz="4" w:space="0" w:color="auto"/>
              <w:right w:val="single" w:sz="4" w:space="0" w:color="auto"/>
            </w:tcBorders>
            <w:shd w:val="clear" w:color="auto" w:fill="auto"/>
            <w:vAlign w:val="center"/>
          </w:tcPr>
          <w:p w14:paraId="019A13A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97,31</w:t>
            </w:r>
          </w:p>
        </w:tc>
        <w:tc>
          <w:tcPr>
            <w:tcW w:w="1769" w:type="dxa"/>
            <w:tcBorders>
              <w:top w:val="nil"/>
              <w:left w:val="nil"/>
              <w:bottom w:val="single" w:sz="4" w:space="0" w:color="auto"/>
              <w:right w:val="single" w:sz="4" w:space="0" w:color="auto"/>
            </w:tcBorders>
            <w:shd w:val="clear" w:color="auto" w:fill="auto"/>
            <w:vAlign w:val="center"/>
          </w:tcPr>
          <w:p w14:paraId="0EF0DA3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91,79</w:t>
            </w:r>
          </w:p>
        </w:tc>
        <w:tc>
          <w:tcPr>
            <w:tcW w:w="937" w:type="dxa"/>
            <w:tcBorders>
              <w:top w:val="nil"/>
              <w:left w:val="nil"/>
              <w:bottom w:val="single" w:sz="4" w:space="0" w:color="auto"/>
              <w:right w:val="single" w:sz="4" w:space="0" w:color="auto"/>
            </w:tcBorders>
            <w:shd w:val="clear" w:color="auto" w:fill="auto"/>
            <w:vAlign w:val="center"/>
          </w:tcPr>
          <w:p w14:paraId="48F1379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97</w:t>
            </w:r>
          </w:p>
        </w:tc>
        <w:tc>
          <w:tcPr>
            <w:tcW w:w="1099" w:type="dxa"/>
            <w:tcBorders>
              <w:top w:val="nil"/>
              <w:left w:val="nil"/>
              <w:bottom w:val="single" w:sz="4" w:space="0" w:color="auto"/>
              <w:right w:val="single" w:sz="4" w:space="0" w:color="auto"/>
            </w:tcBorders>
            <w:shd w:val="clear" w:color="000000" w:fill="00B050"/>
            <w:vAlign w:val="bottom"/>
          </w:tcPr>
          <w:p w14:paraId="68EDA01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877" w:type="dxa"/>
            <w:tcBorders>
              <w:top w:val="nil"/>
              <w:left w:val="nil"/>
              <w:bottom w:val="single" w:sz="4" w:space="0" w:color="auto"/>
              <w:right w:val="single" w:sz="4" w:space="0" w:color="auto"/>
            </w:tcBorders>
            <w:shd w:val="clear" w:color="auto" w:fill="auto"/>
            <w:vAlign w:val="center"/>
          </w:tcPr>
          <w:p w14:paraId="7F244003"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7A3CB6AF" w14:textId="77777777">
        <w:trPr>
          <w:trHeight w:val="157"/>
          <w:jc w:val="center"/>
        </w:trPr>
        <w:tc>
          <w:tcPr>
            <w:tcW w:w="5459" w:type="dxa"/>
            <w:tcBorders>
              <w:top w:val="nil"/>
              <w:left w:val="single" w:sz="4" w:space="0" w:color="auto"/>
              <w:bottom w:val="single" w:sz="4" w:space="0" w:color="auto"/>
              <w:right w:val="single" w:sz="4" w:space="0" w:color="auto"/>
            </w:tcBorders>
            <w:shd w:val="clear" w:color="auto" w:fill="auto"/>
            <w:vAlign w:val="center"/>
          </w:tcPr>
          <w:p w14:paraId="4666C31C"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Tempi di attesa ex ante primi accessi: n. esami diagnostici prospettati in sede di prenotazione entro i 60 gg</w:t>
            </w:r>
          </w:p>
        </w:tc>
        <w:tc>
          <w:tcPr>
            <w:tcW w:w="699" w:type="dxa"/>
            <w:tcBorders>
              <w:top w:val="nil"/>
              <w:left w:val="nil"/>
              <w:bottom w:val="single" w:sz="4" w:space="0" w:color="auto"/>
              <w:right w:val="single" w:sz="4" w:space="0" w:color="auto"/>
            </w:tcBorders>
            <w:shd w:val="clear" w:color="auto" w:fill="auto"/>
            <w:vAlign w:val="center"/>
          </w:tcPr>
          <w:p w14:paraId="6F57F5A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98,29</w:t>
            </w:r>
          </w:p>
        </w:tc>
        <w:tc>
          <w:tcPr>
            <w:tcW w:w="1769" w:type="dxa"/>
            <w:tcBorders>
              <w:top w:val="nil"/>
              <w:left w:val="nil"/>
              <w:bottom w:val="single" w:sz="4" w:space="0" w:color="auto"/>
              <w:right w:val="single" w:sz="4" w:space="0" w:color="auto"/>
            </w:tcBorders>
            <w:shd w:val="clear" w:color="auto" w:fill="auto"/>
            <w:vAlign w:val="center"/>
          </w:tcPr>
          <w:p w14:paraId="1C787B9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90,34</w:t>
            </w:r>
          </w:p>
        </w:tc>
        <w:tc>
          <w:tcPr>
            <w:tcW w:w="937" w:type="dxa"/>
            <w:tcBorders>
              <w:top w:val="nil"/>
              <w:left w:val="nil"/>
              <w:bottom w:val="single" w:sz="4" w:space="0" w:color="auto"/>
              <w:right w:val="single" w:sz="4" w:space="0" w:color="auto"/>
            </w:tcBorders>
            <w:shd w:val="clear" w:color="auto" w:fill="auto"/>
            <w:vAlign w:val="center"/>
          </w:tcPr>
          <w:p w14:paraId="5529001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97,64</w:t>
            </w:r>
          </w:p>
        </w:tc>
        <w:tc>
          <w:tcPr>
            <w:tcW w:w="1099" w:type="dxa"/>
            <w:tcBorders>
              <w:top w:val="nil"/>
              <w:left w:val="nil"/>
              <w:bottom w:val="single" w:sz="4" w:space="0" w:color="auto"/>
              <w:right w:val="single" w:sz="4" w:space="0" w:color="auto"/>
            </w:tcBorders>
            <w:shd w:val="clear" w:color="000000" w:fill="00B050"/>
            <w:vAlign w:val="bottom"/>
          </w:tcPr>
          <w:p w14:paraId="20F4E50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877" w:type="dxa"/>
            <w:tcBorders>
              <w:top w:val="nil"/>
              <w:left w:val="nil"/>
              <w:bottom w:val="single" w:sz="4" w:space="0" w:color="auto"/>
              <w:right w:val="single" w:sz="4" w:space="0" w:color="auto"/>
            </w:tcBorders>
            <w:shd w:val="clear" w:color="auto" w:fill="auto"/>
            <w:vAlign w:val="center"/>
          </w:tcPr>
          <w:p w14:paraId="6E02BDEA"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5FE7B85C" w14:textId="77777777">
        <w:trPr>
          <w:trHeight w:val="70"/>
          <w:jc w:val="center"/>
        </w:trPr>
        <w:tc>
          <w:tcPr>
            <w:tcW w:w="5459" w:type="dxa"/>
            <w:tcBorders>
              <w:top w:val="nil"/>
              <w:left w:val="single" w:sz="4" w:space="0" w:color="auto"/>
              <w:bottom w:val="single" w:sz="4" w:space="0" w:color="auto"/>
              <w:right w:val="single" w:sz="4" w:space="0" w:color="auto"/>
            </w:tcBorders>
            <w:shd w:val="clear" w:color="auto" w:fill="auto"/>
            <w:vAlign w:val="center"/>
          </w:tcPr>
          <w:p w14:paraId="0639615F"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 di assistiti con tempo massimo di attesa fra segnalazione e ricovero in </w:t>
            </w:r>
            <w:proofErr w:type="spellStart"/>
            <w:r>
              <w:rPr>
                <w:rFonts w:asciiTheme="minorHAnsi" w:hAnsiTheme="minorHAnsi" w:cs="Times New Roman"/>
                <w:color w:val="000000"/>
                <w:sz w:val="20"/>
                <w:lang w:eastAsia="it-IT" w:bidi="ar-SA"/>
              </w:rPr>
              <w:t>Hospice</w:t>
            </w:r>
            <w:proofErr w:type="spellEnd"/>
            <w:r>
              <w:rPr>
                <w:rFonts w:asciiTheme="minorHAnsi" w:hAnsiTheme="minorHAnsi" w:cs="Times New Roman"/>
                <w:color w:val="000000"/>
                <w:sz w:val="20"/>
                <w:lang w:eastAsia="it-IT" w:bidi="ar-SA"/>
              </w:rPr>
              <w:t xml:space="preserve"> &lt;= 3 giorni</w:t>
            </w:r>
          </w:p>
        </w:tc>
        <w:tc>
          <w:tcPr>
            <w:tcW w:w="699" w:type="dxa"/>
            <w:tcBorders>
              <w:top w:val="nil"/>
              <w:left w:val="nil"/>
              <w:bottom w:val="single" w:sz="4" w:space="0" w:color="auto"/>
              <w:right w:val="single" w:sz="4" w:space="0" w:color="auto"/>
            </w:tcBorders>
            <w:shd w:val="clear" w:color="auto" w:fill="auto"/>
            <w:vAlign w:val="center"/>
          </w:tcPr>
          <w:p w14:paraId="62592E7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64,43</w:t>
            </w:r>
          </w:p>
        </w:tc>
        <w:tc>
          <w:tcPr>
            <w:tcW w:w="1769" w:type="dxa"/>
            <w:tcBorders>
              <w:top w:val="nil"/>
              <w:left w:val="nil"/>
              <w:bottom w:val="single" w:sz="4" w:space="0" w:color="auto"/>
              <w:right w:val="single" w:sz="4" w:space="0" w:color="auto"/>
            </w:tcBorders>
            <w:shd w:val="clear" w:color="auto" w:fill="auto"/>
            <w:vAlign w:val="center"/>
          </w:tcPr>
          <w:p w14:paraId="1259350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937" w:type="dxa"/>
            <w:tcBorders>
              <w:top w:val="nil"/>
              <w:left w:val="nil"/>
              <w:bottom w:val="single" w:sz="4" w:space="0" w:color="auto"/>
              <w:right w:val="single" w:sz="4" w:space="0" w:color="auto"/>
            </w:tcBorders>
            <w:shd w:val="clear" w:color="auto" w:fill="auto"/>
            <w:vAlign w:val="center"/>
          </w:tcPr>
          <w:p w14:paraId="0352EE5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1099" w:type="dxa"/>
            <w:tcBorders>
              <w:top w:val="nil"/>
              <w:left w:val="nil"/>
              <w:bottom w:val="single" w:sz="4" w:space="0" w:color="auto"/>
              <w:right w:val="single" w:sz="4" w:space="0" w:color="auto"/>
            </w:tcBorders>
            <w:shd w:val="clear" w:color="auto" w:fill="auto"/>
            <w:vAlign w:val="center"/>
          </w:tcPr>
          <w:p w14:paraId="1F8E089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877" w:type="dxa"/>
            <w:tcBorders>
              <w:top w:val="nil"/>
              <w:left w:val="nil"/>
              <w:bottom w:val="single" w:sz="4" w:space="0" w:color="auto"/>
              <w:right w:val="single" w:sz="4" w:space="0" w:color="auto"/>
            </w:tcBorders>
            <w:shd w:val="clear" w:color="auto" w:fill="auto"/>
            <w:vAlign w:val="center"/>
          </w:tcPr>
          <w:p w14:paraId="26ECA7A2"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4B833BC4" w14:textId="77777777">
        <w:trPr>
          <w:trHeight w:val="70"/>
          <w:jc w:val="center"/>
        </w:trPr>
        <w:tc>
          <w:tcPr>
            <w:tcW w:w="5459" w:type="dxa"/>
            <w:tcBorders>
              <w:top w:val="nil"/>
              <w:left w:val="single" w:sz="4" w:space="0" w:color="auto"/>
              <w:bottom w:val="single" w:sz="4" w:space="0" w:color="auto"/>
              <w:right w:val="single" w:sz="4" w:space="0" w:color="auto"/>
            </w:tcBorders>
            <w:shd w:val="clear" w:color="auto" w:fill="auto"/>
            <w:vAlign w:val="center"/>
          </w:tcPr>
          <w:p w14:paraId="57987856"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Tempo di attesa medio tra prenotazione e prima visita specialistica nei servizi di Salute Mentale Adulti</w:t>
            </w:r>
          </w:p>
        </w:tc>
        <w:tc>
          <w:tcPr>
            <w:tcW w:w="699" w:type="dxa"/>
            <w:tcBorders>
              <w:top w:val="nil"/>
              <w:left w:val="nil"/>
              <w:bottom w:val="single" w:sz="4" w:space="0" w:color="auto"/>
              <w:right w:val="single" w:sz="4" w:space="0" w:color="auto"/>
            </w:tcBorders>
            <w:shd w:val="clear" w:color="auto" w:fill="auto"/>
            <w:vAlign w:val="center"/>
          </w:tcPr>
          <w:p w14:paraId="0F4D700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11,82</w:t>
            </w:r>
          </w:p>
        </w:tc>
        <w:tc>
          <w:tcPr>
            <w:tcW w:w="1769" w:type="dxa"/>
            <w:tcBorders>
              <w:top w:val="nil"/>
              <w:left w:val="nil"/>
              <w:bottom w:val="single" w:sz="4" w:space="0" w:color="auto"/>
              <w:right w:val="single" w:sz="4" w:space="0" w:color="auto"/>
            </w:tcBorders>
            <w:shd w:val="clear" w:color="auto" w:fill="auto"/>
            <w:vAlign w:val="center"/>
          </w:tcPr>
          <w:p w14:paraId="28D0A9B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8,42</w:t>
            </w:r>
          </w:p>
        </w:tc>
        <w:tc>
          <w:tcPr>
            <w:tcW w:w="937" w:type="dxa"/>
            <w:tcBorders>
              <w:top w:val="nil"/>
              <w:left w:val="nil"/>
              <w:bottom w:val="single" w:sz="4" w:space="0" w:color="auto"/>
              <w:right w:val="single" w:sz="4" w:space="0" w:color="auto"/>
            </w:tcBorders>
            <w:shd w:val="clear" w:color="auto" w:fill="auto"/>
            <w:vAlign w:val="center"/>
          </w:tcPr>
          <w:p w14:paraId="680CC40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7,41</w:t>
            </w:r>
          </w:p>
        </w:tc>
        <w:tc>
          <w:tcPr>
            <w:tcW w:w="1099" w:type="dxa"/>
            <w:tcBorders>
              <w:top w:val="nil"/>
              <w:left w:val="nil"/>
              <w:bottom w:val="single" w:sz="4" w:space="0" w:color="auto"/>
              <w:right w:val="single" w:sz="4" w:space="0" w:color="auto"/>
            </w:tcBorders>
            <w:shd w:val="clear" w:color="000000" w:fill="92D050"/>
            <w:vAlign w:val="bottom"/>
          </w:tcPr>
          <w:p w14:paraId="4CC8160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877" w:type="dxa"/>
            <w:tcBorders>
              <w:top w:val="nil"/>
              <w:left w:val="nil"/>
              <w:bottom w:val="single" w:sz="4" w:space="0" w:color="auto"/>
              <w:right w:val="single" w:sz="4" w:space="0" w:color="auto"/>
            </w:tcBorders>
            <w:shd w:val="clear" w:color="auto" w:fill="auto"/>
            <w:vAlign w:val="center"/>
          </w:tcPr>
          <w:p w14:paraId="330114AF"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14641EAF" w14:textId="77777777">
        <w:trPr>
          <w:trHeight w:val="70"/>
          <w:jc w:val="center"/>
        </w:trPr>
        <w:tc>
          <w:tcPr>
            <w:tcW w:w="5459" w:type="dxa"/>
            <w:tcBorders>
              <w:top w:val="nil"/>
              <w:left w:val="single" w:sz="4" w:space="0" w:color="auto"/>
              <w:bottom w:val="single" w:sz="4" w:space="0" w:color="auto"/>
              <w:right w:val="single" w:sz="4" w:space="0" w:color="auto"/>
            </w:tcBorders>
            <w:shd w:val="clear" w:color="auto" w:fill="auto"/>
            <w:vAlign w:val="center"/>
          </w:tcPr>
          <w:p w14:paraId="04989EE8"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Intervallo Allarme - Target dei mezzi di soccorso - GRIGLIA LEA</w:t>
            </w:r>
          </w:p>
        </w:tc>
        <w:tc>
          <w:tcPr>
            <w:tcW w:w="699" w:type="dxa"/>
            <w:tcBorders>
              <w:top w:val="nil"/>
              <w:left w:val="nil"/>
              <w:bottom w:val="single" w:sz="4" w:space="0" w:color="auto"/>
              <w:right w:val="single" w:sz="4" w:space="0" w:color="auto"/>
            </w:tcBorders>
            <w:shd w:val="clear" w:color="auto" w:fill="auto"/>
            <w:vAlign w:val="center"/>
          </w:tcPr>
          <w:p w14:paraId="6E14CF7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16</w:t>
            </w:r>
          </w:p>
        </w:tc>
        <w:tc>
          <w:tcPr>
            <w:tcW w:w="1769" w:type="dxa"/>
            <w:tcBorders>
              <w:top w:val="nil"/>
              <w:left w:val="nil"/>
              <w:bottom w:val="single" w:sz="4" w:space="0" w:color="auto"/>
              <w:right w:val="single" w:sz="4" w:space="0" w:color="auto"/>
            </w:tcBorders>
            <w:shd w:val="clear" w:color="auto" w:fill="auto"/>
            <w:vAlign w:val="center"/>
          </w:tcPr>
          <w:p w14:paraId="2F6725D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937" w:type="dxa"/>
            <w:tcBorders>
              <w:top w:val="nil"/>
              <w:left w:val="nil"/>
              <w:bottom w:val="single" w:sz="4" w:space="0" w:color="auto"/>
              <w:right w:val="single" w:sz="4" w:space="0" w:color="auto"/>
            </w:tcBorders>
            <w:shd w:val="clear" w:color="auto" w:fill="auto"/>
            <w:vAlign w:val="center"/>
          </w:tcPr>
          <w:p w14:paraId="2323E32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1099" w:type="dxa"/>
            <w:tcBorders>
              <w:top w:val="nil"/>
              <w:left w:val="nil"/>
              <w:bottom w:val="single" w:sz="4" w:space="0" w:color="auto"/>
              <w:right w:val="single" w:sz="4" w:space="0" w:color="auto"/>
            </w:tcBorders>
            <w:shd w:val="clear" w:color="auto" w:fill="auto"/>
            <w:vAlign w:val="center"/>
          </w:tcPr>
          <w:p w14:paraId="32CE298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877" w:type="dxa"/>
            <w:tcBorders>
              <w:top w:val="nil"/>
              <w:left w:val="nil"/>
              <w:bottom w:val="single" w:sz="4" w:space="0" w:color="auto"/>
              <w:right w:val="single" w:sz="4" w:space="0" w:color="auto"/>
            </w:tcBorders>
            <w:shd w:val="clear" w:color="auto" w:fill="auto"/>
            <w:vAlign w:val="center"/>
          </w:tcPr>
          <w:p w14:paraId="2A1C227F"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56BA21FB" w14:textId="77777777">
        <w:trPr>
          <w:trHeight w:val="70"/>
          <w:jc w:val="center"/>
        </w:trPr>
        <w:tc>
          <w:tcPr>
            <w:tcW w:w="5459" w:type="dxa"/>
            <w:tcBorders>
              <w:top w:val="nil"/>
              <w:left w:val="single" w:sz="4" w:space="0" w:color="auto"/>
              <w:bottom w:val="single" w:sz="4" w:space="0" w:color="auto"/>
              <w:right w:val="single" w:sz="4" w:space="0" w:color="auto"/>
            </w:tcBorders>
            <w:shd w:val="clear" w:color="auto" w:fill="auto"/>
            <w:vAlign w:val="center"/>
          </w:tcPr>
          <w:p w14:paraId="5FF9CA0F"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pazienti registrati al PS con codice giallo e visitati entro 30 minuti</w:t>
            </w:r>
          </w:p>
        </w:tc>
        <w:tc>
          <w:tcPr>
            <w:tcW w:w="699" w:type="dxa"/>
            <w:tcBorders>
              <w:top w:val="nil"/>
              <w:left w:val="nil"/>
              <w:bottom w:val="single" w:sz="4" w:space="0" w:color="auto"/>
              <w:right w:val="single" w:sz="4" w:space="0" w:color="auto"/>
            </w:tcBorders>
            <w:shd w:val="clear" w:color="auto" w:fill="auto"/>
            <w:vAlign w:val="center"/>
          </w:tcPr>
          <w:p w14:paraId="0CC97AE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67,1</w:t>
            </w:r>
          </w:p>
        </w:tc>
        <w:tc>
          <w:tcPr>
            <w:tcW w:w="1769" w:type="dxa"/>
            <w:tcBorders>
              <w:top w:val="nil"/>
              <w:left w:val="nil"/>
              <w:bottom w:val="single" w:sz="4" w:space="0" w:color="auto"/>
              <w:right w:val="single" w:sz="4" w:space="0" w:color="auto"/>
            </w:tcBorders>
            <w:shd w:val="clear" w:color="auto" w:fill="auto"/>
            <w:vAlign w:val="center"/>
          </w:tcPr>
          <w:p w14:paraId="287D383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69,46</w:t>
            </w:r>
          </w:p>
        </w:tc>
        <w:tc>
          <w:tcPr>
            <w:tcW w:w="937" w:type="dxa"/>
            <w:tcBorders>
              <w:top w:val="nil"/>
              <w:left w:val="nil"/>
              <w:bottom w:val="single" w:sz="4" w:space="0" w:color="auto"/>
              <w:right w:val="single" w:sz="4" w:space="0" w:color="auto"/>
            </w:tcBorders>
            <w:shd w:val="clear" w:color="auto" w:fill="auto"/>
            <w:vAlign w:val="center"/>
          </w:tcPr>
          <w:p w14:paraId="66E1EA8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67,79</w:t>
            </w:r>
          </w:p>
        </w:tc>
        <w:tc>
          <w:tcPr>
            <w:tcW w:w="1099" w:type="dxa"/>
            <w:tcBorders>
              <w:top w:val="nil"/>
              <w:left w:val="nil"/>
              <w:bottom w:val="single" w:sz="4" w:space="0" w:color="auto"/>
              <w:right w:val="single" w:sz="4" w:space="0" w:color="auto"/>
            </w:tcBorders>
            <w:shd w:val="clear" w:color="000000" w:fill="0070C0"/>
            <w:vAlign w:val="bottom"/>
          </w:tcPr>
          <w:p w14:paraId="03EEE30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877" w:type="dxa"/>
            <w:tcBorders>
              <w:top w:val="nil"/>
              <w:left w:val="nil"/>
              <w:bottom w:val="single" w:sz="4" w:space="0" w:color="auto"/>
              <w:right w:val="single" w:sz="4" w:space="0" w:color="auto"/>
            </w:tcBorders>
            <w:shd w:val="clear" w:color="auto" w:fill="auto"/>
            <w:vAlign w:val="center"/>
          </w:tcPr>
          <w:p w14:paraId="7E888743"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1398B833" w14:textId="77777777">
        <w:trPr>
          <w:trHeight w:val="188"/>
          <w:jc w:val="center"/>
        </w:trPr>
        <w:tc>
          <w:tcPr>
            <w:tcW w:w="5459" w:type="dxa"/>
            <w:tcBorders>
              <w:top w:val="nil"/>
              <w:left w:val="single" w:sz="4" w:space="0" w:color="auto"/>
              <w:bottom w:val="single" w:sz="4" w:space="0" w:color="auto"/>
              <w:right w:val="single" w:sz="4" w:space="0" w:color="auto"/>
            </w:tcBorders>
            <w:shd w:val="clear" w:color="auto" w:fill="auto"/>
            <w:vAlign w:val="center"/>
          </w:tcPr>
          <w:p w14:paraId="3DB671C6"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pazienti registrati al PS con codice verde e visitati entro 1 ora</w:t>
            </w:r>
          </w:p>
        </w:tc>
        <w:tc>
          <w:tcPr>
            <w:tcW w:w="699" w:type="dxa"/>
            <w:tcBorders>
              <w:top w:val="nil"/>
              <w:left w:val="nil"/>
              <w:bottom w:val="single" w:sz="4" w:space="0" w:color="auto"/>
              <w:right w:val="single" w:sz="4" w:space="0" w:color="auto"/>
            </w:tcBorders>
            <w:shd w:val="clear" w:color="auto" w:fill="auto"/>
            <w:vAlign w:val="center"/>
          </w:tcPr>
          <w:p w14:paraId="1B379FB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62,19</w:t>
            </w:r>
          </w:p>
        </w:tc>
        <w:tc>
          <w:tcPr>
            <w:tcW w:w="1769" w:type="dxa"/>
            <w:tcBorders>
              <w:top w:val="nil"/>
              <w:left w:val="nil"/>
              <w:bottom w:val="single" w:sz="4" w:space="0" w:color="auto"/>
              <w:right w:val="single" w:sz="4" w:space="0" w:color="auto"/>
            </w:tcBorders>
            <w:shd w:val="clear" w:color="auto" w:fill="auto"/>
            <w:vAlign w:val="center"/>
          </w:tcPr>
          <w:p w14:paraId="3FF7AAD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67,28</w:t>
            </w:r>
          </w:p>
        </w:tc>
        <w:tc>
          <w:tcPr>
            <w:tcW w:w="937" w:type="dxa"/>
            <w:tcBorders>
              <w:top w:val="nil"/>
              <w:left w:val="nil"/>
              <w:bottom w:val="single" w:sz="4" w:space="0" w:color="auto"/>
              <w:right w:val="single" w:sz="4" w:space="0" w:color="auto"/>
            </w:tcBorders>
            <w:shd w:val="clear" w:color="auto" w:fill="auto"/>
            <w:vAlign w:val="center"/>
          </w:tcPr>
          <w:p w14:paraId="1B62C9A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67,06</w:t>
            </w:r>
          </w:p>
        </w:tc>
        <w:tc>
          <w:tcPr>
            <w:tcW w:w="1099" w:type="dxa"/>
            <w:tcBorders>
              <w:top w:val="nil"/>
              <w:left w:val="nil"/>
              <w:bottom w:val="single" w:sz="4" w:space="0" w:color="auto"/>
              <w:right w:val="single" w:sz="4" w:space="0" w:color="auto"/>
            </w:tcBorders>
            <w:shd w:val="clear" w:color="000000" w:fill="0070C0"/>
            <w:vAlign w:val="bottom"/>
          </w:tcPr>
          <w:p w14:paraId="37DE348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877" w:type="dxa"/>
            <w:tcBorders>
              <w:top w:val="nil"/>
              <w:left w:val="nil"/>
              <w:bottom w:val="single" w:sz="4" w:space="0" w:color="auto"/>
              <w:right w:val="single" w:sz="4" w:space="0" w:color="auto"/>
            </w:tcBorders>
            <w:shd w:val="clear" w:color="auto" w:fill="auto"/>
            <w:vAlign w:val="center"/>
          </w:tcPr>
          <w:p w14:paraId="6291EF5D"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6458B9F9" w14:textId="77777777">
        <w:trPr>
          <w:trHeight w:val="70"/>
          <w:jc w:val="center"/>
        </w:trPr>
        <w:tc>
          <w:tcPr>
            <w:tcW w:w="5459" w:type="dxa"/>
            <w:tcBorders>
              <w:top w:val="nil"/>
              <w:left w:val="single" w:sz="4" w:space="0" w:color="auto"/>
              <w:bottom w:val="single" w:sz="4" w:space="0" w:color="auto"/>
              <w:right w:val="single" w:sz="4" w:space="0" w:color="auto"/>
            </w:tcBorders>
            <w:shd w:val="clear" w:color="auto" w:fill="auto"/>
            <w:vAlign w:val="center"/>
          </w:tcPr>
          <w:p w14:paraId="64DF4834"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Tasso </w:t>
            </w:r>
            <w:proofErr w:type="spellStart"/>
            <w:r>
              <w:rPr>
                <w:rFonts w:asciiTheme="minorHAnsi" w:hAnsiTheme="minorHAnsi" w:cs="Times New Roman"/>
                <w:color w:val="000000"/>
                <w:sz w:val="20"/>
                <w:lang w:eastAsia="it-IT" w:bidi="ar-SA"/>
              </w:rPr>
              <w:t>std</w:t>
            </w:r>
            <w:proofErr w:type="spellEnd"/>
            <w:r>
              <w:rPr>
                <w:rFonts w:asciiTheme="minorHAnsi" w:hAnsiTheme="minorHAnsi" w:cs="Times New Roman"/>
                <w:color w:val="000000"/>
                <w:sz w:val="20"/>
                <w:lang w:eastAsia="it-IT" w:bidi="ar-SA"/>
              </w:rPr>
              <w:t xml:space="preserve"> di accessi in PS</w:t>
            </w:r>
          </w:p>
        </w:tc>
        <w:tc>
          <w:tcPr>
            <w:tcW w:w="699" w:type="dxa"/>
            <w:tcBorders>
              <w:top w:val="nil"/>
              <w:left w:val="nil"/>
              <w:bottom w:val="single" w:sz="4" w:space="0" w:color="auto"/>
              <w:right w:val="single" w:sz="4" w:space="0" w:color="auto"/>
            </w:tcBorders>
            <w:shd w:val="clear" w:color="auto" w:fill="auto"/>
            <w:vAlign w:val="center"/>
          </w:tcPr>
          <w:p w14:paraId="64E1DE4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380,3</w:t>
            </w:r>
          </w:p>
        </w:tc>
        <w:tc>
          <w:tcPr>
            <w:tcW w:w="1769" w:type="dxa"/>
            <w:tcBorders>
              <w:top w:val="nil"/>
              <w:left w:val="nil"/>
              <w:bottom w:val="single" w:sz="4" w:space="0" w:color="auto"/>
              <w:right w:val="single" w:sz="4" w:space="0" w:color="auto"/>
            </w:tcBorders>
            <w:shd w:val="clear" w:color="auto" w:fill="auto"/>
            <w:vAlign w:val="center"/>
          </w:tcPr>
          <w:p w14:paraId="4818955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408,11</w:t>
            </w:r>
          </w:p>
        </w:tc>
        <w:tc>
          <w:tcPr>
            <w:tcW w:w="937" w:type="dxa"/>
            <w:tcBorders>
              <w:top w:val="nil"/>
              <w:left w:val="nil"/>
              <w:bottom w:val="single" w:sz="4" w:space="0" w:color="auto"/>
              <w:right w:val="single" w:sz="4" w:space="0" w:color="auto"/>
            </w:tcBorders>
            <w:shd w:val="clear" w:color="auto" w:fill="auto"/>
            <w:vAlign w:val="center"/>
          </w:tcPr>
          <w:p w14:paraId="7226251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415,18</w:t>
            </w:r>
          </w:p>
        </w:tc>
        <w:tc>
          <w:tcPr>
            <w:tcW w:w="1099" w:type="dxa"/>
            <w:tcBorders>
              <w:top w:val="nil"/>
              <w:left w:val="nil"/>
              <w:bottom w:val="single" w:sz="4" w:space="0" w:color="auto"/>
              <w:right w:val="single" w:sz="4" w:space="0" w:color="auto"/>
            </w:tcBorders>
            <w:shd w:val="clear" w:color="000000" w:fill="0070C0"/>
            <w:vAlign w:val="bottom"/>
          </w:tcPr>
          <w:p w14:paraId="3C6AA2B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877" w:type="dxa"/>
            <w:tcBorders>
              <w:top w:val="nil"/>
              <w:left w:val="nil"/>
              <w:bottom w:val="single" w:sz="4" w:space="0" w:color="auto"/>
              <w:right w:val="single" w:sz="4" w:space="0" w:color="auto"/>
            </w:tcBorders>
            <w:shd w:val="clear" w:color="auto" w:fill="auto"/>
            <w:vAlign w:val="center"/>
          </w:tcPr>
          <w:p w14:paraId="61F08CDC"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bl>
    <w:p w14:paraId="3AE36E6F" w14:textId="77777777" w:rsidR="00E27519" w:rsidRDefault="0003178C">
      <w:pPr>
        <w:ind w:right="284"/>
        <w:jc w:val="both"/>
        <w:rPr>
          <w:rFonts w:eastAsia="Calibri"/>
          <w:sz w:val="16"/>
          <w:lang w:eastAsia="en-US"/>
        </w:rPr>
      </w:pPr>
      <w:r>
        <w:rPr>
          <w:rFonts w:eastAsia="Calibri"/>
          <w:sz w:val="16"/>
          <w:lang w:eastAsia="en-US"/>
        </w:rPr>
        <w:t xml:space="preserve">Fonte: Regione Emilia Romagna, SIVER, 2016. </w:t>
      </w:r>
      <w:hyperlink r:id="rId27" w:history="1">
        <w:r>
          <w:rPr>
            <w:rStyle w:val="Collegamentoipertestuale"/>
            <w:rFonts w:eastAsia="Calibri"/>
            <w:sz w:val="16"/>
            <w:lang w:eastAsia="en-US"/>
          </w:rPr>
          <w:t>http://salute.regione.emilia-romagna.it/siseps/siver</w:t>
        </w:r>
      </w:hyperlink>
    </w:p>
    <w:p w14:paraId="42105E28" w14:textId="77777777" w:rsidR="00E27519" w:rsidRDefault="00E27519">
      <w:pPr>
        <w:ind w:right="284"/>
        <w:jc w:val="both"/>
        <w:rPr>
          <w:rFonts w:eastAsia="Calibri"/>
          <w:b/>
          <w:sz w:val="20"/>
          <w:lang w:eastAsia="en-US"/>
        </w:rPr>
      </w:pPr>
    </w:p>
    <w:p w14:paraId="08F90977" w14:textId="77777777" w:rsidR="00E27519" w:rsidRDefault="0003178C">
      <w:pPr>
        <w:spacing w:after="120"/>
        <w:contextualSpacing/>
        <w:jc w:val="both"/>
        <w:rPr>
          <w:rFonts w:eastAsia="Calibri"/>
          <w:sz w:val="20"/>
          <w:lang w:eastAsia="en-US"/>
        </w:rPr>
      </w:pPr>
      <w:r>
        <w:rPr>
          <w:rFonts w:eastAsia="Calibri"/>
          <w:sz w:val="20"/>
          <w:lang w:eastAsia="en-US"/>
        </w:rPr>
        <w:t>Integrazione</w:t>
      </w:r>
    </w:p>
    <w:tbl>
      <w:tblPr>
        <w:tblW w:w="10880" w:type="dxa"/>
        <w:jc w:val="center"/>
        <w:tblLayout w:type="fixed"/>
        <w:tblCellMar>
          <w:left w:w="70" w:type="dxa"/>
          <w:right w:w="70" w:type="dxa"/>
        </w:tblCellMar>
        <w:tblLook w:val="04A0" w:firstRow="1" w:lastRow="0" w:firstColumn="1" w:lastColumn="0" w:noHBand="0" w:noVBand="1"/>
      </w:tblPr>
      <w:tblGrid>
        <w:gridCol w:w="5260"/>
        <w:gridCol w:w="700"/>
        <w:gridCol w:w="1780"/>
        <w:gridCol w:w="940"/>
        <w:gridCol w:w="1220"/>
        <w:gridCol w:w="980"/>
      </w:tblGrid>
      <w:tr w:rsidR="00E27519" w14:paraId="7F4F41B5" w14:textId="77777777">
        <w:trPr>
          <w:trHeight w:val="70"/>
          <w:jc w:val="center"/>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14:paraId="54ECC10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Indicatore</w:t>
            </w:r>
          </w:p>
        </w:tc>
        <w:tc>
          <w:tcPr>
            <w:tcW w:w="700" w:type="dxa"/>
            <w:tcBorders>
              <w:top w:val="single" w:sz="2" w:space="0" w:color="auto"/>
              <w:left w:val="nil"/>
              <w:bottom w:val="single" w:sz="2" w:space="0" w:color="auto"/>
              <w:right w:val="single" w:sz="2" w:space="0" w:color="auto"/>
            </w:tcBorders>
            <w:shd w:val="clear" w:color="auto" w:fill="auto"/>
            <w:vAlign w:val="center"/>
          </w:tcPr>
          <w:p w14:paraId="19B6A04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0E2FC97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780" w:type="dxa"/>
            <w:tcBorders>
              <w:top w:val="single" w:sz="4" w:space="0" w:color="auto"/>
              <w:left w:val="nil"/>
              <w:bottom w:val="single" w:sz="4" w:space="0" w:color="auto"/>
              <w:right w:val="single" w:sz="4" w:space="0" w:color="auto"/>
            </w:tcBorders>
            <w:shd w:val="clear" w:color="auto" w:fill="auto"/>
            <w:vAlign w:val="center"/>
          </w:tcPr>
          <w:p w14:paraId="5A50B5D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940" w:type="dxa"/>
            <w:tcBorders>
              <w:top w:val="single" w:sz="4" w:space="0" w:color="auto"/>
              <w:left w:val="nil"/>
              <w:bottom w:val="single" w:sz="4" w:space="0" w:color="auto"/>
              <w:right w:val="single" w:sz="4" w:space="0" w:color="auto"/>
            </w:tcBorders>
            <w:shd w:val="clear" w:color="auto" w:fill="auto"/>
            <w:vAlign w:val="center"/>
          </w:tcPr>
          <w:p w14:paraId="655DE51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5E2B266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220" w:type="dxa"/>
            <w:tcBorders>
              <w:top w:val="single" w:sz="4" w:space="0" w:color="auto"/>
              <w:left w:val="nil"/>
              <w:bottom w:val="single" w:sz="4" w:space="0" w:color="auto"/>
              <w:right w:val="single" w:sz="4" w:space="0" w:color="auto"/>
            </w:tcBorders>
            <w:shd w:val="clear" w:color="auto" w:fill="auto"/>
            <w:vAlign w:val="center"/>
          </w:tcPr>
          <w:p w14:paraId="386C54D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2EFEC04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980" w:type="dxa"/>
            <w:tcBorders>
              <w:top w:val="single" w:sz="4" w:space="0" w:color="auto"/>
              <w:left w:val="nil"/>
              <w:bottom w:val="single" w:sz="4" w:space="0" w:color="auto"/>
              <w:right w:val="single" w:sz="4" w:space="0" w:color="auto"/>
            </w:tcBorders>
            <w:shd w:val="clear" w:color="auto" w:fill="auto"/>
            <w:vAlign w:val="center"/>
          </w:tcPr>
          <w:p w14:paraId="7E22276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71A14307" w14:textId="77777777">
        <w:trPr>
          <w:trHeight w:val="453"/>
          <w:jc w:val="center"/>
        </w:trPr>
        <w:tc>
          <w:tcPr>
            <w:tcW w:w="5260" w:type="dxa"/>
            <w:tcBorders>
              <w:top w:val="nil"/>
              <w:left w:val="single" w:sz="4" w:space="0" w:color="auto"/>
              <w:bottom w:val="single" w:sz="4" w:space="0" w:color="auto"/>
              <w:right w:val="single" w:sz="4" w:space="0" w:color="auto"/>
            </w:tcBorders>
            <w:shd w:val="clear" w:color="auto" w:fill="auto"/>
            <w:vAlign w:val="center"/>
          </w:tcPr>
          <w:p w14:paraId="1E98B71D"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Tasso </w:t>
            </w:r>
            <w:proofErr w:type="spellStart"/>
            <w:r>
              <w:rPr>
                <w:rFonts w:asciiTheme="minorHAnsi" w:hAnsiTheme="minorHAnsi" w:cs="Times New Roman"/>
                <w:color w:val="000000"/>
                <w:sz w:val="20"/>
                <w:lang w:eastAsia="it-IT" w:bidi="ar-SA"/>
              </w:rPr>
              <w:t>std</w:t>
            </w:r>
            <w:proofErr w:type="spellEnd"/>
            <w:r>
              <w:rPr>
                <w:rFonts w:asciiTheme="minorHAnsi" w:hAnsiTheme="minorHAnsi" w:cs="Times New Roman"/>
                <w:color w:val="000000"/>
                <w:sz w:val="20"/>
                <w:lang w:eastAsia="it-IT" w:bidi="ar-SA"/>
              </w:rPr>
              <w:t xml:space="preserve"> ospedalizzazione in età pediatrica (&lt; 18 anni) per asma e gastroenterite x 100.000 abitanti - GRIGLIA LEA</w:t>
            </w:r>
          </w:p>
        </w:tc>
        <w:tc>
          <w:tcPr>
            <w:tcW w:w="700" w:type="dxa"/>
            <w:tcBorders>
              <w:top w:val="nil"/>
              <w:left w:val="nil"/>
              <w:bottom w:val="single" w:sz="4" w:space="0" w:color="auto"/>
              <w:right w:val="single" w:sz="4" w:space="0" w:color="auto"/>
            </w:tcBorders>
            <w:shd w:val="clear" w:color="auto" w:fill="auto"/>
            <w:vAlign w:val="center"/>
          </w:tcPr>
          <w:p w14:paraId="63B59ED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128</w:t>
            </w:r>
          </w:p>
        </w:tc>
        <w:tc>
          <w:tcPr>
            <w:tcW w:w="1780" w:type="dxa"/>
            <w:tcBorders>
              <w:top w:val="nil"/>
              <w:left w:val="nil"/>
              <w:bottom w:val="single" w:sz="4" w:space="0" w:color="auto"/>
              <w:right w:val="single" w:sz="4" w:space="0" w:color="auto"/>
            </w:tcBorders>
            <w:shd w:val="clear" w:color="auto" w:fill="auto"/>
            <w:vAlign w:val="center"/>
          </w:tcPr>
          <w:p w14:paraId="499B66A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151,31</w:t>
            </w:r>
          </w:p>
        </w:tc>
        <w:tc>
          <w:tcPr>
            <w:tcW w:w="940" w:type="dxa"/>
            <w:tcBorders>
              <w:top w:val="nil"/>
              <w:left w:val="nil"/>
              <w:bottom w:val="single" w:sz="4" w:space="0" w:color="auto"/>
              <w:right w:val="single" w:sz="4" w:space="0" w:color="auto"/>
            </w:tcBorders>
            <w:shd w:val="clear" w:color="auto" w:fill="auto"/>
            <w:vAlign w:val="center"/>
          </w:tcPr>
          <w:p w14:paraId="69BD4E7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159,89</w:t>
            </w:r>
          </w:p>
        </w:tc>
        <w:tc>
          <w:tcPr>
            <w:tcW w:w="1220" w:type="dxa"/>
            <w:tcBorders>
              <w:top w:val="nil"/>
              <w:left w:val="nil"/>
              <w:bottom w:val="single" w:sz="4" w:space="0" w:color="auto"/>
              <w:right w:val="single" w:sz="4" w:space="0" w:color="auto"/>
            </w:tcBorders>
            <w:shd w:val="clear" w:color="000000" w:fill="FFFF00"/>
            <w:vAlign w:val="center"/>
          </w:tcPr>
          <w:p w14:paraId="1E77D72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80" w:type="dxa"/>
            <w:tcBorders>
              <w:top w:val="nil"/>
              <w:left w:val="nil"/>
              <w:bottom w:val="single" w:sz="4" w:space="0" w:color="auto"/>
              <w:right w:val="single" w:sz="4" w:space="0" w:color="auto"/>
            </w:tcBorders>
            <w:shd w:val="clear" w:color="auto" w:fill="auto"/>
            <w:vAlign w:val="center"/>
          </w:tcPr>
          <w:p w14:paraId="7685447C"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441721F2" w14:textId="77777777">
        <w:trPr>
          <w:trHeight w:val="530"/>
          <w:jc w:val="center"/>
        </w:trPr>
        <w:tc>
          <w:tcPr>
            <w:tcW w:w="5260" w:type="dxa"/>
            <w:tcBorders>
              <w:top w:val="nil"/>
              <w:left w:val="single" w:sz="4" w:space="0" w:color="auto"/>
              <w:bottom w:val="single" w:sz="4" w:space="0" w:color="auto"/>
              <w:right w:val="single" w:sz="4" w:space="0" w:color="auto"/>
            </w:tcBorders>
            <w:shd w:val="clear" w:color="auto" w:fill="auto"/>
            <w:vAlign w:val="center"/>
          </w:tcPr>
          <w:p w14:paraId="529558A8"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Tasso </w:t>
            </w:r>
            <w:proofErr w:type="spellStart"/>
            <w:r>
              <w:rPr>
                <w:rFonts w:asciiTheme="minorHAnsi" w:hAnsiTheme="minorHAnsi" w:cs="Times New Roman"/>
                <w:color w:val="000000"/>
                <w:sz w:val="20"/>
                <w:lang w:eastAsia="it-IT" w:bidi="ar-SA"/>
              </w:rPr>
              <w:t>std</w:t>
            </w:r>
            <w:proofErr w:type="spellEnd"/>
            <w:r>
              <w:rPr>
                <w:rFonts w:asciiTheme="minorHAnsi" w:hAnsiTheme="minorHAnsi" w:cs="Times New Roman"/>
                <w:color w:val="000000"/>
                <w:sz w:val="20"/>
                <w:lang w:eastAsia="it-IT" w:bidi="ar-SA"/>
              </w:rPr>
              <w:t xml:space="preserve"> di ospedalizzazione per complicanze del diabete (a breve e lungo termine), BPCO e scompenso cardiaco x 100.000 residenti, &gt;= 18 anni - GRIGLIA LEA</w:t>
            </w:r>
          </w:p>
        </w:tc>
        <w:tc>
          <w:tcPr>
            <w:tcW w:w="700" w:type="dxa"/>
            <w:tcBorders>
              <w:top w:val="nil"/>
              <w:left w:val="nil"/>
              <w:bottom w:val="single" w:sz="4" w:space="0" w:color="auto"/>
              <w:right w:val="single" w:sz="4" w:space="0" w:color="auto"/>
            </w:tcBorders>
            <w:shd w:val="clear" w:color="auto" w:fill="auto"/>
            <w:vAlign w:val="center"/>
          </w:tcPr>
          <w:p w14:paraId="4676FB4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381,9</w:t>
            </w:r>
          </w:p>
        </w:tc>
        <w:tc>
          <w:tcPr>
            <w:tcW w:w="1780" w:type="dxa"/>
            <w:tcBorders>
              <w:top w:val="nil"/>
              <w:left w:val="nil"/>
              <w:bottom w:val="single" w:sz="4" w:space="0" w:color="auto"/>
              <w:right w:val="single" w:sz="4" w:space="0" w:color="auto"/>
            </w:tcBorders>
            <w:shd w:val="clear" w:color="auto" w:fill="auto"/>
            <w:vAlign w:val="center"/>
          </w:tcPr>
          <w:p w14:paraId="5D9288E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387</w:t>
            </w:r>
          </w:p>
        </w:tc>
        <w:tc>
          <w:tcPr>
            <w:tcW w:w="940" w:type="dxa"/>
            <w:tcBorders>
              <w:top w:val="nil"/>
              <w:left w:val="nil"/>
              <w:bottom w:val="single" w:sz="4" w:space="0" w:color="auto"/>
              <w:right w:val="single" w:sz="4" w:space="0" w:color="auto"/>
            </w:tcBorders>
            <w:shd w:val="clear" w:color="auto" w:fill="auto"/>
            <w:vAlign w:val="center"/>
          </w:tcPr>
          <w:p w14:paraId="599A723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364,42</w:t>
            </w:r>
          </w:p>
        </w:tc>
        <w:tc>
          <w:tcPr>
            <w:tcW w:w="1220" w:type="dxa"/>
            <w:tcBorders>
              <w:top w:val="nil"/>
              <w:left w:val="nil"/>
              <w:bottom w:val="single" w:sz="4" w:space="0" w:color="auto"/>
              <w:right w:val="single" w:sz="4" w:space="0" w:color="auto"/>
            </w:tcBorders>
            <w:shd w:val="clear" w:color="000000" w:fill="92D050"/>
            <w:vAlign w:val="center"/>
          </w:tcPr>
          <w:p w14:paraId="151C643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80" w:type="dxa"/>
            <w:tcBorders>
              <w:top w:val="nil"/>
              <w:left w:val="nil"/>
              <w:bottom w:val="single" w:sz="4" w:space="0" w:color="auto"/>
              <w:right w:val="single" w:sz="4" w:space="0" w:color="auto"/>
            </w:tcBorders>
            <w:shd w:val="clear" w:color="auto" w:fill="auto"/>
            <w:vAlign w:val="center"/>
          </w:tcPr>
          <w:p w14:paraId="7D3DBA0B"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42F5B8F1" w14:textId="77777777">
        <w:trPr>
          <w:trHeight w:val="70"/>
          <w:jc w:val="center"/>
        </w:trPr>
        <w:tc>
          <w:tcPr>
            <w:tcW w:w="5260" w:type="dxa"/>
            <w:tcBorders>
              <w:top w:val="nil"/>
              <w:left w:val="single" w:sz="4" w:space="0" w:color="auto"/>
              <w:bottom w:val="single" w:sz="4" w:space="0" w:color="auto"/>
              <w:right w:val="single" w:sz="4" w:space="0" w:color="auto"/>
            </w:tcBorders>
            <w:shd w:val="clear" w:color="auto" w:fill="auto"/>
            <w:vAlign w:val="center"/>
          </w:tcPr>
          <w:p w14:paraId="467E14C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anziani &gt;= 65 anni trattati in ADI - GRIGLIA LEA</w:t>
            </w:r>
          </w:p>
        </w:tc>
        <w:tc>
          <w:tcPr>
            <w:tcW w:w="700" w:type="dxa"/>
            <w:tcBorders>
              <w:top w:val="nil"/>
              <w:left w:val="nil"/>
              <w:bottom w:val="single" w:sz="4" w:space="0" w:color="auto"/>
              <w:right w:val="single" w:sz="4" w:space="0" w:color="auto"/>
            </w:tcBorders>
            <w:shd w:val="clear" w:color="auto" w:fill="auto"/>
            <w:vAlign w:val="center"/>
          </w:tcPr>
          <w:p w14:paraId="6DEF3A2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4,4</w:t>
            </w:r>
          </w:p>
        </w:tc>
        <w:tc>
          <w:tcPr>
            <w:tcW w:w="1780" w:type="dxa"/>
            <w:tcBorders>
              <w:top w:val="nil"/>
              <w:left w:val="nil"/>
              <w:bottom w:val="single" w:sz="4" w:space="0" w:color="auto"/>
              <w:right w:val="single" w:sz="4" w:space="0" w:color="auto"/>
            </w:tcBorders>
            <w:shd w:val="clear" w:color="auto" w:fill="auto"/>
            <w:vAlign w:val="center"/>
          </w:tcPr>
          <w:p w14:paraId="0D95F42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4,19</w:t>
            </w:r>
          </w:p>
        </w:tc>
        <w:tc>
          <w:tcPr>
            <w:tcW w:w="940" w:type="dxa"/>
            <w:tcBorders>
              <w:top w:val="nil"/>
              <w:left w:val="nil"/>
              <w:bottom w:val="single" w:sz="4" w:space="0" w:color="auto"/>
              <w:right w:val="single" w:sz="4" w:space="0" w:color="auto"/>
            </w:tcBorders>
            <w:shd w:val="clear" w:color="auto" w:fill="auto"/>
            <w:vAlign w:val="center"/>
          </w:tcPr>
          <w:p w14:paraId="4CC4793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4,07</w:t>
            </w:r>
          </w:p>
        </w:tc>
        <w:tc>
          <w:tcPr>
            <w:tcW w:w="1220" w:type="dxa"/>
            <w:tcBorders>
              <w:top w:val="nil"/>
              <w:left w:val="nil"/>
              <w:bottom w:val="single" w:sz="4" w:space="0" w:color="auto"/>
              <w:right w:val="single" w:sz="4" w:space="0" w:color="auto"/>
            </w:tcBorders>
            <w:shd w:val="clear" w:color="000000" w:fill="00B050"/>
            <w:vAlign w:val="center"/>
          </w:tcPr>
          <w:p w14:paraId="286B5F9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80" w:type="dxa"/>
            <w:tcBorders>
              <w:top w:val="nil"/>
              <w:left w:val="nil"/>
              <w:bottom w:val="single" w:sz="4" w:space="0" w:color="auto"/>
              <w:right w:val="single" w:sz="4" w:space="0" w:color="auto"/>
            </w:tcBorders>
            <w:shd w:val="clear" w:color="auto" w:fill="auto"/>
            <w:vAlign w:val="center"/>
          </w:tcPr>
          <w:p w14:paraId="3A3FF70E"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049F93B6" w14:textId="77777777">
        <w:trPr>
          <w:trHeight w:val="232"/>
          <w:jc w:val="center"/>
        </w:trPr>
        <w:tc>
          <w:tcPr>
            <w:tcW w:w="5260" w:type="dxa"/>
            <w:tcBorders>
              <w:top w:val="nil"/>
              <w:left w:val="single" w:sz="4" w:space="0" w:color="auto"/>
              <w:bottom w:val="single" w:sz="4" w:space="0" w:color="auto"/>
              <w:right w:val="single" w:sz="4" w:space="0" w:color="auto"/>
            </w:tcBorders>
            <w:shd w:val="clear" w:color="auto" w:fill="auto"/>
            <w:vAlign w:val="center"/>
          </w:tcPr>
          <w:p w14:paraId="67C4BBC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lastRenderedPageBreak/>
              <w:t xml:space="preserve">Tasso </w:t>
            </w:r>
            <w:proofErr w:type="spellStart"/>
            <w:r>
              <w:rPr>
                <w:rFonts w:asciiTheme="minorHAnsi" w:hAnsiTheme="minorHAnsi" w:cs="Times New Roman"/>
                <w:color w:val="000000"/>
                <w:sz w:val="20"/>
                <w:lang w:eastAsia="it-IT" w:bidi="ar-SA"/>
              </w:rPr>
              <w:t>std</w:t>
            </w:r>
            <w:proofErr w:type="spellEnd"/>
            <w:r>
              <w:rPr>
                <w:rFonts w:asciiTheme="minorHAnsi" w:hAnsiTheme="minorHAnsi" w:cs="Times New Roman"/>
                <w:color w:val="000000"/>
                <w:sz w:val="20"/>
                <w:lang w:eastAsia="it-IT" w:bidi="ar-SA"/>
              </w:rPr>
              <w:t xml:space="preserve"> di ospedalizzazione per TSO x 100.000 residenti maggiorenni</w:t>
            </w:r>
          </w:p>
        </w:tc>
        <w:tc>
          <w:tcPr>
            <w:tcW w:w="700" w:type="dxa"/>
            <w:tcBorders>
              <w:top w:val="nil"/>
              <w:left w:val="nil"/>
              <w:bottom w:val="single" w:sz="4" w:space="0" w:color="auto"/>
              <w:right w:val="single" w:sz="4" w:space="0" w:color="auto"/>
            </w:tcBorders>
            <w:shd w:val="clear" w:color="auto" w:fill="auto"/>
            <w:vAlign w:val="center"/>
          </w:tcPr>
          <w:p w14:paraId="0163E2E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26,23</w:t>
            </w:r>
          </w:p>
        </w:tc>
        <w:tc>
          <w:tcPr>
            <w:tcW w:w="1780" w:type="dxa"/>
            <w:tcBorders>
              <w:top w:val="nil"/>
              <w:left w:val="nil"/>
              <w:bottom w:val="single" w:sz="4" w:space="0" w:color="auto"/>
              <w:right w:val="single" w:sz="4" w:space="0" w:color="auto"/>
            </w:tcBorders>
            <w:shd w:val="clear" w:color="auto" w:fill="auto"/>
            <w:vAlign w:val="center"/>
          </w:tcPr>
          <w:p w14:paraId="7003D70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14,41</w:t>
            </w:r>
          </w:p>
        </w:tc>
        <w:tc>
          <w:tcPr>
            <w:tcW w:w="940" w:type="dxa"/>
            <w:tcBorders>
              <w:top w:val="nil"/>
              <w:left w:val="nil"/>
              <w:bottom w:val="single" w:sz="4" w:space="0" w:color="auto"/>
              <w:right w:val="single" w:sz="4" w:space="0" w:color="auto"/>
            </w:tcBorders>
            <w:shd w:val="clear" w:color="auto" w:fill="auto"/>
            <w:vAlign w:val="center"/>
          </w:tcPr>
          <w:p w14:paraId="5E5D536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23,47</w:t>
            </w:r>
          </w:p>
        </w:tc>
        <w:tc>
          <w:tcPr>
            <w:tcW w:w="1220" w:type="dxa"/>
            <w:tcBorders>
              <w:top w:val="nil"/>
              <w:left w:val="nil"/>
              <w:bottom w:val="single" w:sz="4" w:space="0" w:color="auto"/>
              <w:right w:val="single" w:sz="4" w:space="0" w:color="auto"/>
            </w:tcBorders>
            <w:shd w:val="clear" w:color="000000" w:fill="00B050"/>
            <w:vAlign w:val="center"/>
          </w:tcPr>
          <w:p w14:paraId="3D567C3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80" w:type="dxa"/>
            <w:tcBorders>
              <w:top w:val="nil"/>
              <w:left w:val="nil"/>
              <w:bottom w:val="single" w:sz="4" w:space="0" w:color="auto"/>
              <w:right w:val="single" w:sz="4" w:space="0" w:color="auto"/>
            </w:tcBorders>
            <w:shd w:val="clear" w:color="auto" w:fill="auto"/>
            <w:vAlign w:val="center"/>
          </w:tcPr>
          <w:p w14:paraId="39E7972E"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3D356CC6" w14:textId="77777777">
        <w:trPr>
          <w:trHeight w:val="70"/>
          <w:jc w:val="center"/>
        </w:trPr>
        <w:tc>
          <w:tcPr>
            <w:tcW w:w="5260" w:type="dxa"/>
            <w:tcBorders>
              <w:top w:val="nil"/>
              <w:left w:val="single" w:sz="4" w:space="0" w:color="auto"/>
              <w:bottom w:val="single" w:sz="4" w:space="0" w:color="auto"/>
              <w:right w:val="single" w:sz="4" w:space="0" w:color="auto"/>
            </w:tcBorders>
            <w:shd w:val="clear" w:color="auto" w:fill="auto"/>
            <w:vAlign w:val="center"/>
          </w:tcPr>
          <w:p w14:paraId="78F251FB"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Assistiti dalla rete di Cure Palliative al domicilio e/o in </w:t>
            </w:r>
            <w:proofErr w:type="spellStart"/>
            <w:r>
              <w:rPr>
                <w:rFonts w:asciiTheme="minorHAnsi" w:hAnsiTheme="minorHAnsi" w:cs="Times New Roman"/>
                <w:color w:val="000000"/>
                <w:sz w:val="20"/>
                <w:lang w:eastAsia="it-IT" w:bidi="ar-SA"/>
              </w:rPr>
              <w:t>Hospice</w:t>
            </w:r>
            <w:proofErr w:type="spellEnd"/>
            <w:r>
              <w:rPr>
                <w:rFonts w:asciiTheme="minorHAnsi" w:hAnsiTheme="minorHAnsi" w:cs="Times New Roman"/>
                <w:color w:val="000000"/>
                <w:sz w:val="20"/>
                <w:lang w:eastAsia="it-IT" w:bidi="ar-SA"/>
              </w:rPr>
              <w:t>, deceduti</w:t>
            </w:r>
          </w:p>
        </w:tc>
        <w:tc>
          <w:tcPr>
            <w:tcW w:w="700" w:type="dxa"/>
            <w:tcBorders>
              <w:top w:val="nil"/>
              <w:left w:val="nil"/>
              <w:bottom w:val="single" w:sz="4" w:space="0" w:color="auto"/>
              <w:right w:val="single" w:sz="4" w:space="0" w:color="auto"/>
            </w:tcBorders>
            <w:shd w:val="clear" w:color="auto" w:fill="auto"/>
            <w:vAlign w:val="center"/>
          </w:tcPr>
          <w:p w14:paraId="033FF21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63,29</w:t>
            </w:r>
          </w:p>
        </w:tc>
        <w:tc>
          <w:tcPr>
            <w:tcW w:w="1780" w:type="dxa"/>
            <w:tcBorders>
              <w:top w:val="nil"/>
              <w:left w:val="nil"/>
              <w:bottom w:val="single" w:sz="4" w:space="0" w:color="auto"/>
              <w:right w:val="single" w:sz="4" w:space="0" w:color="auto"/>
            </w:tcBorders>
            <w:shd w:val="clear" w:color="auto" w:fill="auto"/>
            <w:vAlign w:val="center"/>
          </w:tcPr>
          <w:p w14:paraId="4737F39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57,49</w:t>
            </w:r>
          </w:p>
        </w:tc>
        <w:tc>
          <w:tcPr>
            <w:tcW w:w="940" w:type="dxa"/>
            <w:tcBorders>
              <w:top w:val="nil"/>
              <w:left w:val="nil"/>
              <w:bottom w:val="single" w:sz="4" w:space="0" w:color="auto"/>
              <w:right w:val="single" w:sz="4" w:space="0" w:color="auto"/>
            </w:tcBorders>
            <w:shd w:val="clear" w:color="auto" w:fill="auto"/>
            <w:vAlign w:val="center"/>
          </w:tcPr>
          <w:p w14:paraId="4889A6E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57,97</w:t>
            </w:r>
          </w:p>
        </w:tc>
        <w:tc>
          <w:tcPr>
            <w:tcW w:w="1220" w:type="dxa"/>
            <w:tcBorders>
              <w:top w:val="nil"/>
              <w:left w:val="nil"/>
              <w:bottom w:val="single" w:sz="4" w:space="0" w:color="auto"/>
              <w:right w:val="single" w:sz="4" w:space="0" w:color="auto"/>
            </w:tcBorders>
            <w:shd w:val="clear" w:color="000000" w:fill="FFFF00"/>
            <w:vAlign w:val="center"/>
          </w:tcPr>
          <w:p w14:paraId="63D4C6B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80" w:type="dxa"/>
            <w:tcBorders>
              <w:top w:val="nil"/>
              <w:left w:val="nil"/>
              <w:bottom w:val="single" w:sz="4" w:space="0" w:color="auto"/>
              <w:right w:val="single" w:sz="4" w:space="0" w:color="auto"/>
            </w:tcBorders>
            <w:shd w:val="clear" w:color="auto" w:fill="auto"/>
            <w:vAlign w:val="center"/>
          </w:tcPr>
          <w:p w14:paraId="74D8D377"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0D96F6E5" w14:textId="77777777">
        <w:trPr>
          <w:trHeight w:val="70"/>
          <w:jc w:val="center"/>
        </w:trPr>
        <w:tc>
          <w:tcPr>
            <w:tcW w:w="5260" w:type="dxa"/>
            <w:tcBorders>
              <w:top w:val="nil"/>
              <w:left w:val="single" w:sz="4" w:space="0" w:color="auto"/>
              <w:bottom w:val="single" w:sz="4" w:space="0" w:color="auto"/>
              <w:right w:val="single" w:sz="4" w:space="0" w:color="auto"/>
            </w:tcBorders>
            <w:shd w:val="clear" w:color="auto" w:fill="auto"/>
            <w:vAlign w:val="center"/>
          </w:tcPr>
          <w:p w14:paraId="459ABB2D"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 di ricoveri in </w:t>
            </w:r>
            <w:proofErr w:type="spellStart"/>
            <w:r>
              <w:rPr>
                <w:rFonts w:asciiTheme="minorHAnsi" w:hAnsiTheme="minorHAnsi" w:cs="Times New Roman"/>
                <w:color w:val="000000"/>
                <w:sz w:val="20"/>
                <w:lang w:eastAsia="it-IT" w:bidi="ar-SA"/>
              </w:rPr>
              <w:t>Hospice</w:t>
            </w:r>
            <w:proofErr w:type="spellEnd"/>
            <w:r>
              <w:rPr>
                <w:rFonts w:asciiTheme="minorHAnsi" w:hAnsiTheme="minorHAnsi" w:cs="Times New Roman"/>
                <w:color w:val="000000"/>
                <w:sz w:val="20"/>
                <w:lang w:eastAsia="it-IT" w:bidi="ar-SA"/>
              </w:rPr>
              <w:t xml:space="preserve"> con periodo di ricovero &gt;= 30 giorni</w:t>
            </w:r>
          </w:p>
        </w:tc>
        <w:tc>
          <w:tcPr>
            <w:tcW w:w="700" w:type="dxa"/>
            <w:tcBorders>
              <w:top w:val="nil"/>
              <w:left w:val="nil"/>
              <w:bottom w:val="single" w:sz="4" w:space="0" w:color="auto"/>
              <w:right w:val="single" w:sz="4" w:space="0" w:color="auto"/>
            </w:tcBorders>
            <w:shd w:val="clear" w:color="auto" w:fill="auto"/>
            <w:vAlign w:val="center"/>
          </w:tcPr>
          <w:p w14:paraId="5C0B7F9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18,61</w:t>
            </w:r>
          </w:p>
        </w:tc>
        <w:tc>
          <w:tcPr>
            <w:tcW w:w="1780" w:type="dxa"/>
            <w:tcBorders>
              <w:top w:val="nil"/>
              <w:left w:val="nil"/>
              <w:bottom w:val="single" w:sz="4" w:space="0" w:color="auto"/>
              <w:right w:val="single" w:sz="4" w:space="0" w:color="auto"/>
            </w:tcBorders>
            <w:shd w:val="clear" w:color="auto" w:fill="auto"/>
            <w:vAlign w:val="center"/>
          </w:tcPr>
          <w:p w14:paraId="402BBB2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940" w:type="dxa"/>
            <w:tcBorders>
              <w:top w:val="nil"/>
              <w:left w:val="nil"/>
              <w:bottom w:val="single" w:sz="4" w:space="0" w:color="auto"/>
              <w:right w:val="single" w:sz="4" w:space="0" w:color="auto"/>
            </w:tcBorders>
            <w:shd w:val="clear" w:color="auto" w:fill="auto"/>
            <w:vAlign w:val="center"/>
          </w:tcPr>
          <w:p w14:paraId="68B85A9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1220" w:type="dxa"/>
            <w:tcBorders>
              <w:top w:val="nil"/>
              <w:left w:val="nil"/>
              <w:bottom w:val="single" w:sz="4" w:space="0" w:color="auto"/>
              <w:right w:val="single" w:sz="4" w:space="0" w:color="auto"/>
            </w:tcBorders>
            <w:shd w:val="clear" w:color="auto" w:fill="auto"/>
            <w:vAlign w:val="center"/>
          </w:tcPr>
          <w:p w14:paraId="0378BB1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980" w:type="dxa"/>
            <w:tcBorders>
              <w:top w:val="nil"/>
              <w:left w:val="nil"/>
              <w:bottom w:val="single" w:sz="4" w:space="0" w:color="auto"/>
              <w:right w:val="single" w:sz="4" w:space="0" w:color="auto"/>
            </w:tcBorders>
            <w:shd w:val="clear" w:color="auto" w:fill="auto"/>
            <w:vAlign w:val="center"/>
          </w:tcPr>
          <w:p w14:paraId="49AD049E"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776E463C" w14:textId="77777777">
        <w:trPr>
          <w:trHeight w:val="70"/>
          <w:jc w:val="center"/>
        </w:trPr>
        <w:tc>
          <w:tcPr>
            <w:tcW w:w="5260" w:type="dxa"/>
            <w:tcBorders>
              <w:top w:val="nil"/>
              <w:left w:val="single" w:sz="4" w:space="0" w:color="auto"/>
              <w:bottom w:val="single" w:sz="4" w:space="0" w:color="auto"/>
              <w:right w:val="single" w:sz="4" w:space="0" w:color="auto"/>
            </w:tcBorders>
            <w:shd w:val="clear" w:color="auto" w:fill="auto"/>
            <w:vAlign w:val="center"/>
          </w:tcPr>
          <w:p w14:paraId="738A6C54"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Tasso di utilizzo dell'assistenza domiciliare &gt;= 75 anni</w:t>
            </w:r>
          </w:p>
        </w:tc>
        <w:tc>
          <w:tcPr>
            <w:tcW w:w="700" w:type="dxa"/>
            <w:tcBorders>
              <w:top w:val="nil"/>
              <w:left w:val="nil"/>
              <w:bottom w:val="single" w:sz="4" w:space="0" w:color="auto"/>
              <w:right w:val="single" w:sz="4" w:space="0" w:color="auto"/>
            </w:tcBorders>
            <w:shd w:val="clear" w:color="auto" w:fill="auto"/>
            <w:vAlign w:val="center"/>
          </w:tcPr>
          <w:p w14:paraId="206ADB1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190,8</w:t>
            </w:r>
          </w:p>
        </w:tc>
        <w:tc>
          <w:tcPr>
            <w:tcW w:w="1780" w:type="dxa"/>
            <w:tcBorders>
              <w:top w:val="nil"/>
              <w:left w:val="nil"/>
              <w:bottom w:val="single" w:sz="4" w:space="0" w:color="auto"/>
              <w:right w:val="single" w:sz="4" w:space="0" w:color="auto"/>
            </w:tcBorders>
            <w:shd w:val="clear" w:color="auto" w:fill="auto"/>
            <w:vAlign w:val="center"/>
          </w:tcPr>
          <w:p w14:paraId="3E64A01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215,34</w:t>
            </w:r>
          </w:p>
        </w:tc>
        <w:tc>
          <w:tcPr>
            <w:tcW w:w="940" w:type="dxa"/>
            <w:tcBorders>
              <w:top w:val="nil"/>
              <w:left w:val="nil"/>
              <w:bottom w:val="single" w:sz="4" w:space="0" w:color="auto"/>
              <w:right w:val="single" w:sz="4" w:space="0" w:color="auto"/>
            </w:tcBorders>
            <w:shd w:val="clear" w:color="auto" w:fill="auto"/>
            <w:vAlign w:val="center"/>
          </w:tcPr>
          <w:p w14:paraId="355F0AF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211,85</w:t>
            </w:r>
          </w:p>
        </w:tc>
        <w:tc>
          <w:tcPr>
            <w:tcW w:w="1220" w:type="dxa"/>
            <w:tcBorders>
              <w:top w:val="nil"/>
              <w:left w:val="nil"/>
              <w:bottom w:val="single" w:sz="4" w:space="0" w:color="auto"/>
              <w:right w:val="single" w:sz="4" w:space="0" w:color="auto"/>
            </w:tcBorders>
            <w:shd w:val="clear" w:color="000000" w:fill="00B050"/>
            <w:vAlign w:val="center"/>
          </w:tcPr>
          <w:p w14:paraId="1A3499C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80" w:type="dxa"/>
            <w:tcBorders>
              <w:top w:val="nil"/>
              <w:left w:val="nil"/>
              <w:bottom w:val="single" w:sz="4" w:space="0" w:color="auto"/>
              <w:right w:val="single" w:sz="4" w:space="0" w:color="auto"/>
            </w:tcBorders>
            <w:shd w:val="clear" w:color="auto" w:fill="auto"/>
            <w:vAlign w:val="center"/>
          </w:tcPr>
          <w:p w14:paraId="6EFCE872"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bl>
    <w:p w14:paraId="5C89707E" w14:textId="77777777" w:rsidR="00E27519" w:rsidRDefault="0003178C">
      <w:pPr>
        <w:ind w:right="284"/>
        <w:jc w:val="both"/>
        <w:rPr>
          <w:rFonts w:asciiTheme="minorHAnsi" w:eastAsia="Calibri" w:hAnsiTheme="minorHAnsi"/>
          <w:sz w:val="16"/>
          <w:lang w:eastAsia="en-US"/>
        </w:rPr>
      </w:pPr>
      <w:r>
        <w:rPr>
          <w:rFonts w:eastAsia="Calibri"/>
          <w:sz w:val="16"/>
          <w:lang w:eastAsia="en-US"/>
        </w:rPr>
        <w:t xml:space="preserve">Fonte: Regione Emilia Romagna, SIVER, 2016. </w:t>
      </w:r>
      <w:hyperlink r:id="rId28" w:history="1">
        <w:r>
          <w:rPr>
            <w:rStyle w:val="Collegamentoipertestuale"/>
            <w:rFonts w:eastAsia="Calibri"/>
            <w:sz w:val="16"/>
            <w:lang w:eastAsia="en-US"/>
          </w:rPr>
          <w:t>http://salute.regione.emilia-romagna.it/siseps/siver</w:t>
        </w:r>
      </w:hyperlink>
      <w:r>
        <w:rPr>
          <w:rFonts w:eastAsia="Calibri"/>
          <w:sz w:val="16"/>
          <w:lang w:eastAsia="en-US"/>
        </w:rPr>
        <w:t xml:space="preserve">. </w:t>
      </w:r>
    </w:p>
    <w:p w14:paraId="1FAD85FD" w14:textId="77777777" w:rsidR="00E27519" w:rsidRDefault="00E27519">
      <w:pPr>
        <w:suppressAutoHyphens w:val="0"/>
        <w:spacing w:before="0"/>
        <w:rPr>
          <w:rFonts w:eastAsia="Calibri"/>
          <w:b/>
          <w:sz w:val="20"/>
          <w:lang w:eastAsia="en-US"/>
        </w:rPr>
      </w:pPr>
    </w:p>
    <w:p w14:paraId="5EFA0A2F" w14:textId="77777777" w:rsidR="00E27519" w:rsidRDefault="0003178C">
      <w:pPr>
        <w:spacing w:after="120"/>
        <w:contextualSpacing/>
        <w:jc w:val="both"/>
        <w:rPr>
          <w:rFonts w:eastAsia="Calibri"/>
          <w:sz w:val="20"/>
          <w:lang w:eastAsia="en-US"/>
        </w:rPr>
      </w:pPr>
      <w:r>
        <w:rPr>
          <w:rFonts w:eastAsia="Calibri"/>
          <w:sz w:val="20"/>
          <w:lang w:eastAsia="en-US"/>
        </w:rPr>
        <w:t>La seconda dimensione del sistema di valutazione SIVER, riguardante l’integrazione, mostra un andamento dell’Azienda USL di Modena buono e ottimo in alcuni indicatori, con invece un valore di livello medio (giallo) relativamente a:</w:t>
      </w:r>
    </w:p>
    <w:p w14:paraId="39658DA8" w14:textId="77777777" w:rsidR="00E27519" w:rsidRDefault="0003178C">
      <w:pPr>
        <w:pStyle w:val="Paragrafoelenco2"/>
        <w:numPr>
          <w:ilvl w:val="0"/>
          <w:numId w:val="31"/>
        </w:numPr>
        <w:spacing w:after="120"/>
        <w:jc w:val="both"/>
        <w:rPr>
          <w:rFonts w:asciiTheme="minorHAnsi" w:eastAsia="Calibri" w:hAnsiTheme="minorHAnsi"/>
          <w:lang w:eastAsia="en-US"/>
        </w:rPr>
      </w:pPr>
      <w:r>
        <w:rPr>
          <w:rFonts w:asciiTheme="minorHAnsi" w:eastAsia="Calibri" w:hAnsiTheme="minorHAnsi"/>
          <w:lang w:eastAsia="en-US"/>
        </w:rPr>
        <w:t xml:space="preserve">Tasso </w:t>
      </w:r>
      <w:proofErr w:type="spellStart"/>
      <w:r>
        <w:rPr>
          <w:rFonts w:asciiTheme="minorHAnsi" w:eastAsia="Calibri" w:hAnsiTheme="minorHAnsi"/>
          <w:lang w:eastAsia="en-US"/>
        </w:rPr>
        <w:t>std</w:t>
      </w:r>
      <w:proofErr w:type="spellEnd"/>
      <w:r>
        <w:rPr>
          <w:rFonts w:asciiTheme="minorHAnsi" w:eastAsia="Calibri" w:hAnsiTheme="minorHAnsi"/>
          <w:lang w:eastAsia="en-US"/>
        </w:rPr>
        <w:t xml:space="preserve"> ospedalizzazione in età pediatrica (&lt; 18 anni) per asma e gastroenterite x 100.000 abitanti - GRIGLIA LEA (MO 159,9 – RER 128): il dato aziendale decisamente superiore alla media regionale richiede una maggiore attenzione ed il rafforzamento dei servizi alternativi al ricovero.</w:t>
      </w:r>
    </w:p>
    <w:p w14:paraId="07F8450B" w14:textId="77777777" w:rsidR="00E27519" w:rsidRDefault="00E27519">
      <w:pPr>
        <w:pStyle w:val="Paragrafoelenco2"/>
        <w:spacing w:after="120"/>
        <w:jc w:val="both"/>
        <w:rPr>
          <w:rFonts w:asciiTheme="minorHAnsi" w:eastAsia="Calibri" w:hAnsiTheme="minorHAnsi"/>
          <w:lang w:eastAsia="en-US"/>
        </w:rPr>
      </w:pPr>
    </w:p>
    <w:p w14:paraId="5A7D76C2" w14:textId="77777777" w:rsidR="00E27519" w:rsidRDefault="0003178C">
      <w:pPr>
        <w:pStyle w:val="Paragrafoelenco2"/>
        <w:numPr>
          <w:ilvl w:val="0"/>
          <w:numId w:val="31"/>
        </w:numPr>
        <w:spacing w:after="120"/>
        <w:jc w:val="both"/>
        <w:rPr>
          <w:rFonts w:asciiTheme="minorHAnsi" w:eastAsia="Calibri" w:hAnsiTheme="minorHAnsi"/>
          <w:lang w:eastAsia="en-US"/>
        </w:rPr>
      </w:pPr>
      <w:r>
        <w:rPr>
          <w:rFonts w:asciiTheme="minorHAnsi" w:eastAsia="Calibri" w:hAnsiTheme="minorHAnsi"/>
          <w:lang w:eastAsia="en-US"/>
        </w:rPr>
        <w:t xml:space="preserve">Assistiti dalla rete di Cure Palliative al domicilio e/o in </w:t>
      </w:r>
      <w:proofErr w:type="spellStart"/>
      <w:r>
        <w:rPr>
          <w:rFonts w:asciiTheme="minorHAnsi" w:eastAsia="Calibri" w:hAnsiTheme="minorHAnsi"/>
          <w:lang w:eastAsia="en-US"/>
        </w:rPr>
        <w:t>Hospice</w:t>
      </w:r>
      <w:proofErr w:type="spellEnd"/>
      <w:r>
        <w:rPr>
          <w:rFonts w:asciiTheme="minorHAnsi" w:eastAsia="Calibri" w:hAnsiTheme="minorHAnsi"/>
          <w:lang w:eastAsia="en-US"/>
        </w:rPr>
        <w:t xml:space="preserve">, deceduti (MO 57,97 – RER 63,29): questo posizionamento inferiore alla media, anche se in miglioramento, riflette l’attuale assenza di un </w:t>
      </w:r>
      <w:proofErr w:type="spellStart"/>
      <w:r>
        <w:rPr>
          <w:rFonts w:asciiTheme="minorHAnsi" w:eastAsia="Calibri" w:hAnsiTheme="minorHAnsi"/>
          <w:lang w:eastAsia="en-US"/>
        </w:rPr>
        <w:t>hospice</w:t>
      </w:r>
      <w:proofErr w:type="spellEnd"/>
      <w:r>
        <w:rPr>
          <w:rFonts w:asciiTheme="minorHAnsi" w:eastAsia="Calibri" w:hAnsiTheme="minorHAnsi"/>
          <w:lang w:eastAsia="en-US"/>
        </w:rPr>
        <w:t xml:space="preserve"> nella rete di offerta aziendale cui si sopperisce con le cure domiciliari; è in programma la costruzione di 3 </w:t>
      </w:r>
      <w:proofErr w:type="spellStart"/>
      <w:r>
        <w:rPr>
          <w:rFonts w:asciiTheme="minorHAnsi" w:eastAsia="Calibri" w:hAnsiTheme="minorHAnsi"/>
          <w:lang w:eastAsia="en-US"/>
        </w:rPr>
        <w:t>hospice</w:t>
      </w:r>
      <w:proofErr w:type="spellEnd"/>
      <w:r>
        <w:rPr>
          <w:rFonts w:asciiTheme="minorHAnsi" w:eastAsia="Calibri" w:hAnsiTheme="minorHAnsi"/>
          <w:lang w:eastAsia="en-US"/>
        </w:rPr>
        <w:t>, per il primo dei quali sono in corso i lavori con apertura prevista nel 2018.</w:t>
      </w:r>
    </w:p>
    <w:p w14:paraId="1A41E06C" w14:textId="77777777" w:rsidR="00E27519" w:rsidRDefault="00E27519">
      <w:pPr>
        <w:spacing w:after="120"/>
        <w:contextualSpacing/>
        <w:jc w:val="both"/>
        <w:rPr>
          <w:rFonts w:eastAsia="Calibri"/>
          <w:sz w:val="20"/>
          <w:lang w:eastAsia="en-US"/>
        </w:rPr>
      </w:pPr>
    </w:p>
    <w:p w14:paraId="6C4B50F2" w14:textId="77777777" w:rsidR="00E27519" w:rsidRDefault="0003178C">
      <w:pPr>
        <w:spacing w:after="120"/>
        <w:contextualSpacing/>
        <w:jc w:val="both"/>
        <w:rPr>
          <w:rFonts w:eastAsia="Calibri"/>
          <w:sz w:val="20"/>
          <w:lang w:eastAsia="en-US"/>
        </w:rPr>
      </w:pPr>
      <w:r>
        <w:rPr>
          <w:rFonts w:eastAsia="Calibri"/>
          <w:sz w:val="20"/>
          <w:lang w:eastAsia="en-US"/>
        </w:rPr>
        <w:t>La dimensione degli Esiti per il momento nel sistema prevede solo dati in osservazione (blu) o non aggiustati (viola) e quindi non viene ancora emessa dalla RER una valutazione di posizionamento rispetto a un target/media regionale, ma solo a livello di trend da parte dell’Azienda.</w:t>
      </w:r>
    </w:p>
    <w:p w14:paraId="206D3938" w14:textId="77777777" w:rsidR="00E27519" w:rsidRDefault="00E27519">
      <w:pPr>
        <w:spacing w:after="120"/>
        <w:contextualSpacing/>
        <w:jc w:val="both"/>
        <w:rPr>
          <w:rFonts w:eastAsia="Calibri"/>
          <w:sz w:val="20"/>
          <w:lang w:eastAsia="en-US"/>
        </w:rPr>
      </w:pPr>
    </w:p>
    <w:p w14:paraId="1938E300" w14:textId="77777777" w:rsidR="00E27519" w:rsidRDefault="0003178C">
      <w:pPr>
        <w:spacing w:after="120"/>
        <w:contextualSpacing/>
        <w:jc w:val="both"/>
        <w:rPr>
          <w:rFonts w:eastAsia="Calibri"/>
          <w:sz w:val="20"/>
          <w:lang w:eastAsia="en-US"/>
        </w:rPr>
      </w:pPr>
      <w:r>
        <w:rPr>
          <w:rFonts w:eastAsia="Calibri"/>
          <w:sz w:val="20"/>
          <w:lang w:eastAsia="en-US"/>
        </w:rPr>
        <w:t>Esiti</w:t>
      </w:r>
    </w:p>
    <w:tbl>
      <w:tblPr>
        <w:tblW w:w="10196" w:type="dxa"/>
        <w:jc w:val="center"/>
        <w:tblLayout w:type="fixed"/>
        <w:tblCellMar>
          <w:left w:w="70" w:type="dxa"/>
          <w:right w:w="70" w:type="dxa"/>
        </w:tblCellMar>
        <w:tblLook w:val="04A0" w:firstRow="1" w:lastRow="0" w:firstColumn="1" w:lastColumn="0" w:noHBand="0" w:noVBand="1"/>
      </w:tblPr>
      <w:tblGrid>
        <w:gridCol w:w="5937"/>
        <w:gridCol w:w="546"/>
        <w:gridCol w:w="1025"/>
        <w:gridCol w:w="972"/>
        <w:gridCol w:w="1099"/>
        <w:gridCol w:w="617"/>
      </w:tblGrid>
      <w:tr w:rsidR="00E27519" w14:paraId="3AAB3B87" w14:textId="77777777" w:rsidTr="00E06E22">
        <w:trPr>
          <w:trHeight w:val="600"/>
          <w:jc w:val="center"/>
        </w:trPr>
        <w:tc>
          <w:tcPr>
            <w:tcW w:w="5937" w:type="dxa"/>
            <w:tcBorders>
              <w:top w:val="single" w:sz="4" w:space="0" w:color="auto"/>
              <w:left w:val="single" w:sz="4" w:space="0" w:color="auto"/>
              <w:bottom w:val="single" w:sz="4" w:space="0" w:color="auto"/>
              <w:right w:val="single" w:sz="4" w:space="0" w:color="auto"/>
            </w:tcBorders>
            <w:shd w:val="clear" w:color="auto" w:fill="auto"/>
            <w:vAlign w:val="center"/>
          </w:tcPr>
          <w:p w14:paraId="36693FA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Indicatore</w:t>
            </w:r>
          </w:p>
        </w:tc>
        <w:tc>
          <w:tcPr>
            <w:tcW w:w="546" w:type="dxa"/>
            <w:tcBorders>
              <w:top w:val="single" w:sz="4" w:space="0" w:color="auto"/>
              <w:left w:val="nil"/>
              <w:bottom w:val="single" w:sz="4" w:space="0" w:color="auto"/>
              <w:right w:val="single" w:sz="4" w:space="0" w:color="auto"/>
            </w:tcBorders>
            <w:shd w:val="clear" w:color="auto" w:fill="auto"/>
            <w:vAlign w:val="center"/>
          </w:tcPr>
          <w:p w14:paraId="7EBCD76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2DA007B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25" w:type="dxa"/>
            <w:tcBorders>
              <w:top w:val="single" w:sz="4" w:space="0" w:color="auto"/>
              <w:left w:val="nil"/>
              <w:bottom w:val="single" w:sz="4" w:space="0" w:color="auto"/>
              <w:right w:val="single" w:sz="4" w:space="0" w:color="auto"/>
            </w:tcBorders>
            <w:shd w:val="clear" w:color="auto" w:fill="auto"/>
            <w:vAlign w:val="center"/>
          </w:tcPr>
          <w:p w14:paraId="6F55095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972" w:type="dxa"/>
            <w:tcBorders>
              <w:top w:val="single" w:sz="4" w:space="0" w:color="auto"/>
              <w:left w:val="nil"/>
              <w:bottom w:val="single" w:sz="4" w:space="0" w:color="auto"/>
              <w:right w:val="single" w:sz="4" w:space="0" w:color="auto"/>
            </w:tcBorders>
            <w:shd w:val="clear" w:color="auto" w:fill="auto"/>
            <w:vAlign w:val="center"/>
          </w:tcPr>
          <w:p w14:paraId="2C5527B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59E1D69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99" w:type="dxa"/>
            <w:tcBorders>
              <w:top w:val="single" w:sz="4" w:space="0" w:color="auto"/>
              <w:left w:val="nil"/>
              <w:bottom w:val="single" w:sz="4" w:space="0" w:color="auto"/>
              <w:right w:val="single" w:sz="4" w:space="0" w:color="auto"/>
            </w:tcBorders>
            <w:shd w:val="clear" w:color="auto" w:fill="auto"/>
            <w:vAlign w:val="center"/>
          </w:tcPr>
          <w:p w14:paraId="47F3799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628D4C6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617" w:type="dxa"/>
            <w:tcBorders>
              <w:top w:val="single" w:sz="4" w:space="0" w:color="auto"/>
              <w:left w:val="nil"/>
              <w:bottom w:val="single" w:sz="4" w:space="0" w:color="auto"/>
              <w:right w:val="single" w:sz="4" w:space="0" w:color="auto"/>
            </w:tcBorders>
            <w:shd w:val="clear" w:color="auto" w:fill="auto"/>
            <w:vAlign w:val="center"/>
          </w:tcPr>
          <w:p w14:paraId="61BA145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0C48DB6A"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56176F6D"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colecistectomie laparoscopiche con degenza post-operatoria inferiore a 3 giorni</w:t>
            </w:r>
          </w:p>
        </w:tc>
        <w:tc>
          <w:tcPr>
            <w:tcW w:w="546" w:type="dxa"/>
            <w:tcBorders>
              <w:top w:val="nil"/>
              <w:left w:val="nil"/>
              <w:bottom w:val="single" w:sz="4" w:space="0" w:color="auto"/>
              <w:right w:val="single" w:sz="4" w:space="0" w:color="auto"/>
            </w:tcBorders>
            <w:shd w:val="clear" w:color="auto" w:fill="auto"/>
            <w:vAlign w:val="center"/>
          </w:tcPr>
          <w:p w14:paraId="5C1A8A1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78,8</w:t>
            </w:r>
          </w:p>
        </w:tc>
        <w:tc>
          <w:tcPr>
            <w:tcW w:w="1025" w:type="dxa"/>
            <w:tcBorders>
              <w:top w:val="nil"/>
              <w:left w:val="nil"/>
              <w:bottom w:val="single" w:sz="4" w:space="0" w:color="auto"/>
              <w:right w:val="single" w:sz="4" w:space="0" w:color="auto"/>
            </w:tcBorders>
            <w:shd w:val="clear" w:color="auto" w:fill="auto"/>
            <w:vAlign w:val="center"/>
          </w:tcPr>
          <w:p w14:paraId="0130072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77,84</w:t>
            </w:r>
          </w:p>
        </w:tc>
        <w:tc>
          <w:tcPr>
            <w:tcW w:w="972" w:type="dxa"/>
            <w:tcBorders>
              <w:top w:val="nil"/>
              <w:left w:val="nil"/>
              <w:bottom w:val="single" w:sz="4" w:space="0" w:color="auto"/>
              <w:right w:val="single" w:sz="4" w:space="0" w:color="auto"/>
            </w:tcBorders>
            <w:shd w:val="clear" w:color="auto" w:fill="auto"/>
            <w:vAlign w:val="center"/>
          </w:tcPr>
          <w:p w14:paraId="2A8FD7A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73,51</w:t>
            </w:r>
          </w:p>
        </w:tc>
        <w:tc>
          <w:tcPr>
            <w:tcW w:w="1099" w:type="dxa"/>
            <w:tcBorders>
              <w:top w:val="nil"/>
              <w:left w:val="nil"/>
              <w:bottom w:val="single" w:sz="4" w:space="0" w:color="auto"/>
              <w:right w:val="single" w:sz="4" w:space="0" w:color="auto"/>
            </w:tcBorders>
            <w:shd w:val="clear" w:color="000000" w:fill="FF00FF"/>
            <w:vAlign w:val="center"/>
          </w:tcPr>
          <w:p w14:paraId="6B513C7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2689B747" w14:textId="77777777" w:rsidR="00E27519" w:rsidRDefault="0003178C">
            <w:pPr>
              <w:suppressAutoHyphens w:val="0"/>
              <w:spacing w:before="0"/>
              <w:jc w:val="center"/>
              <w:rPr>
                <w:rFonts w:asciiTheme="minorHAnsi" w:hAnsiTheme="minorHAnsi" w:cs="Times New Roman"/>
                <w:color w:val="00B050"/>
                <w:sz w:val="20"/>
                <w:lang w:eastAsia="it-IT" w:bidi="ar-SA"/>
              </w:rPr>
            </w:pPr>
            <w:r>
              <w:rPr>
                <w:rFonts w:asciiTheme="minorHAnsi" w:hAnsiTheme="minorHAnsi" w:cs="Times New Roman"/>
                <w:color w:val="00B050"/>
                <w:sz w:val="20"/>
                <w:lang w:eastAsia="it-IT" w:bidi="ar-SA"/>
              </w:rPr>
              <w:t>↑</w:t>
            </w:r>
          </w:p>
        </w:tc>
      </w:tr>
      <w:tr w:rsidR="00E27519" w14:paraId="49C52F12"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621622F5"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Mortalità a 30 giorni da intervento di bypass </w:t>
            </w:r>
            <w:proofErr w:type="spellStart"/>
            <w:r>
              <w:rPr>
                <w:rFonts w:asciiTheme="minorHAnsi" w:hAnsiTheme="minorHAnsi" w:cs="Times New Roman"/>
                <w:color w:val="000000"/>
                <w:sz w:val="20"/>
                <w:lang w:eastAsia="it-IT" w:bidi="ar-SA"/>
              </w:rPr>
              <w:t>aorto</w:t>
            </w:r>
            <w:proofErr w:type="spellEnd"/>
            <w:r>
              <w:rPr>
                <w:rFonts w:asciiTheme="minorHAnsi" w:hAnsiTheme="minorHAnsi" w:cs="Times New Roman"/>
                <w:color w:val="000000"/>
                <w:sz w:val="20"/>
                <w:lang w:eastAsia="it-IT" w:bidi="ar-SA"/>
              </w:rPr>
              <w:t xml:space="preserve"> coronarico</w:t>
            </w:r>
          </w:p>
        </w:tc>
        <w:tc>
          <w:tcPr>
            <w:tcW w:w="546" w:type="dxa"/>
            <w:tcBorders>
              <w:top w:val="nil"/>
              <w:left w:val="nil"/>
              <w:bottom w:val="single" w:sz="4" w:space="0" w:color="auto"/>
              <w:right w:val="single" w:sz="4" w:space="0" w:color="auto"/>
            </w:tcBorders>
            <w:shd w:val="clear" w:color="auto" w:fill="auto"/>
            <w:vAlign w:val="center"/>
          </w:tcPr>
          <w:p w14:paraId="06480CB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1,71</w:t>
            </w:r>
          </w:p>
        </w:tc>
        <w:tc>
          <w:tcPr>
            <w:tcW w:w="1025" w:type="dxa"/>
            <w:tcBorders>
              <w:top w:val="nil"/>
              <w:left w:val="nil"/>
              <w:bottom w:val="single" w:sz="4" w:space="0" w:color="auto"/>
              <w:right w:val="single" w:sz="4" w:space="0" w:color="auto"/>
            </w:tcBorders>
            <w:shd w:val="clear" w:color="auto" w:fill="auto"/>
            <w:vAlign w:val="center"/>
          </w:tcPr>
          <w:p w14:paraId="151C77B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1,14</w:t>
            </w:r>
          </w:p>
        </w:tc>
        <w:tc>
          <w:tcPr>
            <w:tcW w:w="972" w:type="dxa"/>
            <w:tcBorders>
              <w:top w:val="nil"/>
              <w:left w:val="nil"/>
              <w:bottom w:val="single" w:sz="4" w:space="0" w:color="auto"/>
              <w:right w:val="single" w:sz="4" w:space="0" w:color="auto"/>
            </w:tcBorders>
            <w:shd w:val="clear" w:color="auto" w:fill="auto"/>
            <w:vAlign w:val="center"/>
          </w:tcPr>
          <w:p w14:paraId="00285F0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1,53</w:t>
            </w:r>
          </w:p>
        </w:tc>
        <w:tc>
          <w:tcPr>
            <w:tcW w:w="1099" w:type="dxa"/>
            <w:tcBorders>
              <w:top w:val="nil"/>
              <w:left w:val="nil"/>
              <w:bottom w:val="single" w:sz="4" w:space="0" w:color="auto"/>
              <w:right w:val="single" w:sz="4" w:space="0" w:color="auto"/>
            </w:tcBorders>
            <w:shd w:val="clear" w:color="000000" w:fill="FF00FF"/>
            <w:vAlign w:val="center"/>
          </w:tcPr>
          <w:p w14:paraId="27D32D7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6B8433D4" w14:textId="77777777" w:rsidR="00E27519" w:rsidRDefault="0003178C">
            <w:pPr>
              <w:suppressAutoHyphens w:val="0"/>
              <w:spacing w:before="0"/>
              <w:jc w:val="center"/>
              <w:rPr>
                <w:rFonts w:asciiTheme="minorHAnsi" w:hAnsiTheme="minorHAnsi" w:cs="Times New Roman"/>
                <w:color w:val="FF0000"/>
                <w:sz w:val="20"/>
                <w:lang w:eastAsia="it-IT" w:bidi="ar-SA"/>
              </w:rPr>
            </w:pPr>
            <w:r>
              <w:rPr>
                <w:rFonts w:asciiTheme="minorHAnsi" w:hAnsiTheme="minorHAnsi" w:cs="Times New Roman"/>
                <w:color w:val="FF0000"/>
                <w:sz w:val="20"/>
                <w:lang w:eastAsia="it-IT" w:bidi="ar-SA"/>
              </w:rPr>
              <w:t>↓</w:t>
            </w:r>
          </w:p>
        </w:tc>
      </w:tr>
      <w:tr w:rsidR="00E27519" w14:paraId="44FC7339"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2CABA47A"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Mortalità a 30 giorni da intervento di </w:t>
            </w:r>
            <w:proofErr w:type="spellStart"/>
            <w:r>
              <w:rPr>
                <w:rFonts w:asciiTheme="minorHAnsi" w:hAnsiTheme="minorHAnsi" w:cs="Times New Roman"/>
                <w:color w:val="000000"/>
                <w:sz w:val="20"/>
                <w:lang w:eastAsia="it-IT" w:bidi="ar-SA"/>
              </w:rPr>
              <w:t>valvoloplastica</w:t>
            </w:r>
            <w:proofErr w:type="spellEnd"/>
            <w:r>
              <w:rPr>
                <w:rFonts w:asciiTheme="minorHAnsi" w:hAnsiTheme="minorHAnsi" w:cs="Times New Roman"/>
                <w:color w:val="000000"/>
                <w:sz w:val="20"/>
                <w:lang w:eastAsia="it-IT" w:bidi="ar-SA"/>
              </w:rPr>
              <w:t xml:space="preserve"> o sostituzione di valvola</w:t>
            </w:r>
          </w:p>
        </w:tc>
        <w:tc>
          <w:tcPr>
            <w:tcW w:w="546" w:type="dxa"/>
            <w:tcBorders>
              <w:top w:val="nil"/>
              <w:left w:val="nil"/>
              <w:bottom w:val="single" w:sz="4" w:space="0" w:color="auto"/>
              <w:right w:val="single" w:sz="4" w:space="0" w:color="auto"/>
            </w:tcBorders>
            <w:shd w:val="clear" w:color="auto" w:fill="auto"/>
            <w:vAlign w:val="center"/>
          </w:tcPr>
          <w:p w14:paraId="4FD1951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2,73</w:t>
            </w:r>
          </w:p>
        </w:tc>
        <w:tc>
          <w:tcPr>
            <w:tcW w:w="1025" w:type="dxa"/>
            <w:tcBorders>
              <w:top w:val="nil"/>
              <w:left w:val="nil"/>
              <w:bottom w:val="single" w:sz="4" w:space="0" w:color="auto"/>
              <w:right w:val="single" w:sz="4" w:space="0" w:color="auto"/>
            </w:tcBorders>
            <w:shd w:val="clear" w:color="auto" w:fill="auto"/>
            <w:vAlign w:val="center"/>
          </w:tcPr>
          <w:p w14:paraId="36526D9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2,09</w:t>
            </w:r>
          </w:p>
        </w:tc>
        <w:tc>
          <w:tcPr>
            <w:tcW w:w="972" w:type="dxa"/>
            <w:tcBorders>
              <w:top w:val="nil"/>
              <w:left w:val="nil"/>
              <w:bottom w:val="single" w:sz="4" w:space="0" w:color="auto"/>
              <w:right w:val="single" w:sz="4" w:space="0" w:color="auto"/>
            </w:tcBorders>
            <w:shd w:val="clear" w:color="auto" w:fill="auto"/>
            <w:vAlign w:val="center"/>
          </w:tcPr>
          <w:p w14:paraId="13436E4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1,74</w:t>
            </w:r>
          </w:p>
        </w:tc>
        <w:tc>
          <w:tcPr>
            <w:tcW w:w="1099" w:type="dxa"/>
            <w:tcBorders>
              <w:top w:val="nil"/>
              <w:left w:val="nil"/>
              <w:bottom w:val="single" w:sz="4" w:space="0" w:color="auto"/>
              <w:right w:val="single" w:sz="4" w:space="0" w:color="auto"/>
            </w:tcBorders>
            <w:shd w:val="clear" w:color="000000" w:fill="FF00FF"/>
            <w:vAlign w:val="center"/>
          </w:tcPr>
          <w:p w14:paraId="1CEAA8F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71618371" w14:textId="77777777" w:rsidR="00E27519" w:rsidRDefault="0003178C">
            <w:pPr>
              <w:suppressAutoHyphens w:val="0"/>
              <w:spacing w:before="0"/>
              <w:jc w:val="center"/>
              <w:rPr>
                <w:rFonts w:asciiTheme="minorHAnsi" w:hAnsiTheme="minorHAnsi" w:cs="Times New Roman"/>
                <w:color w:val="00B050"/>
                <w:sz w:val="20"/>
                <w:lang w:eastAsia="it-IT" w:bidi="ar-SA"/>
              </w:rPr>
            </w:pPr>
            <w:r>
              <w:rPr>
                <w:rFonts w:asciiTheme="minorHAnsi" w:hAnsiTheme="minorHAnsi" w:cs="Times New Roman"/>
                <w:color w:val="00B050"/>
                <w:sz w:val="20"/>
                <w:lang w:eastAsia="it-IT" w:bidi="ar-SA"/>
              </w:rPr>
              <w:t>↑</w:t>
            </w:r>
          </w:p>
        </w:tc>
      </w:tr>
      <w:tr w:rsidR="00E27519" w14:paraId="7E6E7D5D" w14:textId="77777777" w:rsidTr="00E06E22">
        <w:trPr>
          <w:trHeight w:val="42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23DD1E36"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Mortalità a 30 giorni per IMA</w:t>
            </w:r>
          </w:p>
        </w:tc>
        <w:tc>
          <w:tcPr>
            <w:tcW w:w="546" w:type="dxa"/>
            <w:tcBorders>
              <w:top w:val="nil"/>
              <w:left w:val="nil"/>
              <w:bottom w:val="single" w:sz="4" w:space="0" w:color="auto"/>
              <w:right w:val="single" w:sz="4" w:space="0" w:color="auto"/>
            </w:tcBorders>
            <w:shd w:val="clear" w:color="auto" w:fill="auto"/>
            <w:vAlign w:val="center"/>
          </w:tcPr>
          <w:p w14:paraId="74DCC28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8,72</w:t>
            </w:r>
          </w:p>
        </w:tc>
        <w:tc>
          <w:tcPr>
            <w:tcW w:w="1025" w:type="dxa"/>
            <w:tcBorders>
              <w:top w:val="nil"/>
              <w:left w:val="nil"/>
              <w:bottom w:val="single" w:sz="4" w:space="0" w:color="auto"/>
              <w:right w:val="single" w:sz="4" w:space="0" w:color="auto"/>
            </w:tcBorders>
            <w:shd w:val="clear" w:color="auto" w:fill="auto"/>
            <w:vAlign w:val="center"/>
          </w:tcPr>
          <w:p w14:paraId="5420794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7,74</w:t>
            </w:r>
          </w:p>
        </w:tc>
        <w:tc>
          <w:tcPr>
            <w:tcW w:w="972" w:type="dxa"/>
            <w:tcBorders>
              <w:top w:val="nil"/>
              <w:left w:val="nil"/>
              <w:bottom w:val="single" w:sz="4" w:space="0" w:color="auto"/>
              <w:right w:val="single" w:sz="4" w:space="0" w:color="auto"/>
            </w:tcBorders>
            <w:shd w:val="clear" w:color="auto" w:fill="auto"/>
            <w:vAlign w:val="center"/>
          </w:tcPr>
          <w:p w14:paraId="7CD8B15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10,2</w:t>
            </w:r>
          </w:p>
        </w:tc>
        <w:tc>
          <w:tcPr>
            <w:tcW w:w="1099" w:type="dxa"/>
            <w:tcBorders>
              <w:top w:val="nil"/>
              <w:left w:val="nil"/>
              <w:bottom w:val="single" w:sz="4" w:space="0" w:color="auto"/>
              <w:right w:val="single" w:sz="4" w:space="0" w:color="auto"/>
            </w:tcBorders>
            <w:shd w:val="clear" w:color="000000" w:fill="FF00FF"/>
            <w:vAlign w:val="center"/>
          </w:tcPr>
          <w:p w14:paraId="2017503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396BFA4F" w14:textId="77777777" w:rsidR="00E27519" w:rsidRDefault="0003178C">
            <w:pPr>
              <w:suppressAutoHyphens w:val="0"/>
              <w:spacing w:before="0"/>
              <w:jc w:val="center"/>
              <w:rPr>
                <w:rFonts w:asciiTheme="minorHAnsi" w:hAnsiTheme="minorHAnsi" w:cs="Times New Roman"/>
                <w:color w:val="FF0000"/>
                <w:sz w:val="20"/>
                <w:lang w:eastAsia="it-IT" w:bidi="ar-SA"/>
              </w:rPr>
            </w:pPr>
            <w:r>
              <w:rPr>
                <w:rFonts w:asciiTheme="minorHAnsi" w:hAnsiTheme="minorHAnsi" w:cs="Times New Roman"/>
                <w:color w:val="FF0000"/>
                <w:sz w:val="20"/>
                <w:lang w:eastAsia="it-IT" w:bidi="ar-SA"/>
              </w:rPr>
              <w:t>↓</w:t>
            </w:r>
          </w:p>
        </w:tc>
      </w:tr>
      <w:tr w:rsidR="00E27519" w14:paraId="4619D72E"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6FCC62BA"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angioplastiche coronariche percutanea entro 2 giorni dall'accesso per pazienti con IMA</w:t>
            </w:r>
          </w:p>
        </w:tc>
        <w:tc>
          <w:tcPr>
            <w:tcW w:w="546" w:type="dxa"/>
            <w:tcBorders>
              <w:top w:val="nil"/>
              <w:left w:val="nil"/>
              <w:bottom w:val="single" w:sz="4" w:space="0" w:color="auto"/>
              <w:right w:val="single" w:sz="4" w:space="0" w:color="auto"/>
            </w:tcBorders>
            <w:shd w:val="clear" w:color="auto" w:fill="auto"/>
            <w:vAlign w:val="center"/>
          </w:tcPr>
          <w:p w14:paraId="0EF462D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44,4</w:t>
            </w:r>
          </w:p>
        </w:tc>
        <w:tc>
          <w:tcPr>
            <w:tcW w:w="1025" w:type="dxa"/>
            <w:tcBorders>
              <w:top w:val="nil"/>
              <w:left w:val="nil"/>
              <w:bottom w:val="single" w:sz="4" w:space="0" w:color="auto"/>
              <w:right w:val="single" w:sz="4" w:space="0" w:color="auto"/>
            </w:tcBorders>
            <w:shd w:val="clear" w:color="auto" w:fill="auto"/>
            <w:vAlign w:val="center"/>
          </w:tcPr>
          <w:p w14:paraId="5080DA4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38,39</w:t>
            </w:r>
          </w:p>
        </w:tc>
        <w:tc>
          <w:tcPr>
            <w:tcW w:w="972" w:type="dxa"/>
            <w:tcBorders>
              <w:top w:val="nil"/>
              <w:left w:val="nil"/>
              <w:bottom w:val="single" w:sz="4" w:space="0" w:color="auto"/>
              <w:right w:val="single" w:sz="4" w:space="0" w:color="auto"/>
            </w:tcBorders>
            <w:shd w:val="clear" w:color="auto" w:fill="auto"/>
            <w:vAlign w:val="center"/>
          </w:tcPr>
          <w:p w14:paraId="7A41A4A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47,74</w:t>
            </w:r>
          </w:p>
        </w:tc>
        <w:tc>
          <w:tcPr>
            <w:tcW w:w="1099" w:type="dxa"/>
            <w:tcBorders>
              <w:top w:val="nil"/>
              <w:left w:val="nil"/>
              <w:bottom w:val="single" w:sz="4" w:space="0" w:color="auto"/>
              <w:right w:val="single" w:sz="4" w:space="0" w:color="auto"/>
            </w:tcBorders>
            <w:shd w:val="clear" w:color="000000" w:fill="FF00FF"/>
            <w:vAlign w:val="center"/>
          </w:tcPr>
          <w:p w14:paraId="4356D85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75B544B5" w14:textId="77777777" w:rsidR="00E27519" w:rsidRDefault="0003178C">
            <w:pPr>
              <w:suppressAutoHyphens w:val="0"/>
              <w:spacing w:before="0"/>
              <w:jc w:val="center"/>
              <w:rPr>
                <w:rFonts w:asciiTheme="minorHAnsi" w:hAnsiTheme="minorHAnsi" w:cs="Times New Roman"/>
                <w:color w:val="00B050"/>
                <w:sz w:val="20"/>
                <w:lang w:eastAsia="it-IT" w:bidi="ar-SA"/>
              </w:rPr>
            </w:pPr>
            <w:r>
              <w:rPr>
                <w:rFonts w:asciiTheme="minorHAnsi" w:hAnsiTheme="minorHAnsi" w:cs="Times New Roman"/>
                <w:color w:val="00B050"/>
                <w:sz w:val="20"/>
                <w:lang w:eastAsia="it-IT" w:bidi="ar-SA"/>
              </w:rPr>
              <w:t>↑</w:t>
            </w:r>
          </w:p>
        </w:tc>
      </w:tr>
      <w:tr w:rsidR="00E27519" w14:paraId="5BC2B781" w14:textId="77777777" w:rsidTr="00E06E22">
        <w:trPr>
          <w:trHeight w:val="42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6860CA43"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Mortalità a 30 giorni per scompenso cardiaco congestizio</w:t>
            </w:r>
          </w:p>
        </w:tc>
        <w:tc>
          <w:tcPr>
            <w:tcW w:w="546" w:type="dxa"/>
            <w:tcBorders>
              <w:top w:val="nil"/>
              <w:left w:val="nil"/>
              <w:bottom w:val="single" w:sz="4" w:space="0" w:color="auto"/>
              <w:right w:val="single" w:sz="4" w:space="0" w:color="auto"/>
            </w:tcBorders>
            <w:shd w:val="clear" w:color="auto" w:fill="auto"/>
            <w:vAlign w:val="center"/>
          </w:tcPr>
          <w:p w14:paraId="643C624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11,5</w:t>
            </w:r>
          </w:p>
        </w:tc>
        <w:tc>
          <w:tcPr>
            <w:tcW w:w="1025" w:type="dxa"/>
            <w:tcBorders>
              <w:top w:val="nil"/>
              <w:left w:val="nil"/>
              <w:bottom w:val="single" w:sz="4" w:space="0" w:color="auto"/>
              <w:right w:val="single" w:sz="4" w:space="0" w:color="auto"/>
            </w:tcBorders>
            <w:shd w:val="clear" w:color="auto" w:fill="auto"/>
            <w:vAlign w:val="center"/>
          </w:tcPr>
          <w:p w14:paraId="7B9313E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9,99</w:t>
            </w:r>
          </w:p>
        </w:tc>
        <w:tc>
          <w:tcPr>
            <w:tcW w:w="972" w:type="dxa"/>
            <w:tcBorders>
              <w:top w:val="nil"/>
              <w:left w:val="nil"/>
              <w:bottom w:val="single" w:sz="4" w:space="0" w:color="auto"/>
              <w:right w:val="single" w:sz="4" w:space="0" w:color="auto"/>
            </w:tcBorders>
            <w:shd w:val="clear" w:color="auto" w:fill="auto"/>
            <w:vAlign w:val="center"/>
          </w:tcPr>
          <w:p w14:paraId="546EB9F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10,65</w:t>
            </w:r>
          </w:p>
        </w:tc>
        <w:tc>
          <w:tcPr>
            <w:tcW w:w="1099" w:type="dxa"/>
            <w:tcBorders>
              <w:top w:val="nil"/>
              <w:left w:val="nil"/>
              <w:bottom w:val="single" w:sz="4" w:space="0" w:color="auto"/>
              <w:right w:val="single" w:sz="4" w:space="0" w:color="auto"/>
            </w:tcBorders>
            <w:shd w:val="clear" w:color="000000" w:fill="FF00FF"/>
            <w:vAlign w:val="center"/>
          </w:tcPr>
          <w:p w14:paraId="36E2068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182197A1" w14:textId="77777777" w:rsidR="00E27519" w:rsidRDefault="0003178C">
            <w:pPr>
              <w:suppressAutoHyphens w:val="0"/>
              <w:spacing w:before="0"/>
              <w:jc w:val="center"/>
              <w:rPr>
                <w:rFonts w:asciiTheme="minorHAnsi" w:hAnsiTheme="minorHAnsi" w:cs="Times New Roman"/>
                <w:color w:val="FF0000"/>
                <w:sz w:val="20"/>
                <w:lang w:eastAsia="it-IT" w:bidi="ar-SA"/>
              </w:rPr>
            </w:pPr>
            <w:r>
              <w:rPr>
                <w:rFonts w:asciiTheme="minorHAnsi" w:hAnsiTheme="minorHAnsi" w:cs="Times New Roman"/>
                <w:color w:val="FF0000"/>
                <w:sz w:val="20"/>
                <w:lang w:eastAsia="it-IT" w:bidi="ar-SA"/>
              </w:rPr>
              <w:t>↓</w:t>
            </w:r>
          </w:p>
        </w:tc>
      </w:tr>
      <w:tr w:rsidR="00E27519" w14:paraId="5AA82BCA"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5806BCA8"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Mortalità a 30 giorni per riparazione aneurisma non rotto dell'aorta addominale</w:t>
            </w:r>
          </w:p>
        </w:tc>
        <w:tc>
          <w:tcPr>
            <w:tcW w:w="546" w:type="dxa"/>
            <w:tcBorders>
              <w:top w:val="nil"/>
              <w:left w:val="nil"/>
              <w:bottom w:val="single" w:sz="4" w:space="0" w:color="auto"/>
              <w:right w:val="single" w:sz="4" w:space="0" w:color="auto"/>
            </w:tcBorders>
            <w:shd w:val="clear" w:color="auto" w:fill="auto"/>
            <w:vAlign w:val="center"/>
          </w:tcPr>
          <w:p w14:paraId="15806F5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1,61</w:t>
            </w:r>
          </w:p>
        </w:tc>
        <w:tc>
          <w:tcPr>
            <w:tcW w:w="1025" w:type="dxa"/>
            <w:tcBorders>
              <w:top w:val="nil"/>
              <w:left w:val="nil"/>
              <w:bottom w:val="single" w:sz="4" w:space="0" w:color="auto"/>
              <w:right w:val="single" w:sz="4" w:space="0" w:color="auto"/>
            </w:tcBorders>
            <w:shd w:val="clear" w:color="auto" w:fill="auto"/>
            <w:vAlign w:val="center"/>
          </w:tcPr>
          <w:p w14:paraId="7B3C558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0,98</w:t>
            </w:r>
          </w:p>
        </w:tc>
        <w:tc>
          <w:tcPr>
            <w:tcW w:w="972" w:type="dxa"/>
            <w:tcBorders>
              <w:top w:val="nil"/>
              <w:left w:val="nil"/>
              <w:bottom w:val="single" w:sz="4" w:space="0" w:color="auto"/>
              <w:right w:val="single" w:sz="4" w:space="0" w:color="auto"/>
            </w:tcBorders>
            <w:shd w:val="clear" w:color="auto" w:fill="auto"/>
            <w:vAlign w:val="center"/>
          </w:tcPr>
          <w:p w14:paraId="54AA6F6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1,11</w:t>
            </w:r>
          </w:p>
        </w:tc>
        <w:tc>
          <w:tcPr>
            <w:tcW w:w="1099" w:type="dxa"/>
            <w:tcBorders>
              <w:top w:val="nil"/>
              <w:left w:val="nil"/>
              <w:bottom w:val="single" w:sz="4" w:space="0" w:color="auto"/>
              <w:right w:val="single" w:sz="4" w:space="0" w:color="auto"/>
            </w:tcBorders>
            <w:shd w:val="clear" w:color="000000" w:fill="FF00FF"/>
            <w:vAlign w:val="center"/>
          </w:tcPr>
          <w:p w14:paraId="29811F1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59923FD8" w14:textId="77777777" w:rsidR="00E27519" w:rsidRDefault="0003178C">
            <w:pPr>
              <w:suppressAutoHyphens w:val="0"/>
              <w:spacing w:before="0"/>
              <w:jc w:val="center"/>
              <w:rPr>
                <w:rFonts w:asciiTheme="minorHAnsi" w:hAnsiTheme="minorHAnsi" w:cs="Times New Roman"/>
                <w:color w:val="FF0000"/>
                <w:sz w:val="20"/>
                <w:lang w:eastAsia="it-IT" w:bidi="ar-SA"/>
              </w:rPr>
            </w:pPr>
            <w:r>
              <w:rPr>
                <w:rFonts w:asciiTheme="minorHAnsi" w:hAnsiTheme="minorHAnsi" w:cs="Times New Roman"/>
                <w:color w:val="FF0000"/>
                <w:sz w:val="20"/>
                <w:lang w:eastAsia="it-IT" w:bidi="ar-SA"/>
              </w:rPr>
              <w:t>↓</w:t>
            </w:r>
          </w:p>
        </w:tc>
      </w:tr>
      <w:tr w:rsidR="00E27519" w14:paraId="72BF35DC" w14:textId="77777777" w:rsidTr="00E06E22">
        <w:trPr>
          <w:trHeight w:val="42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00A4DAEC"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Mortalità a 30 giorni per ictus ischemico</w:t>
            </w:r>
          </w:p>
        </w:tc>
        <w:tc>
          <w:tcPr>
            <w:tcW w:w="546" w:type="dxa"/>
            <w:tcBorders>
              <w:top w:val="nil"/>
              <w:left w:val="nil"/>
              <w:bottom w:val="single" w:sz="4" w:space="0" w:color="auto"/>
              <w:right w:val="single" w:sz="4" w:space="0" w:color="auto"/>
            </w:tcBorders>
            <w:shd w:val="clear" w:color="auto" w:fill="auto"/>
            <w:vAlign w:val="center"/>
          </w:tcPr>
          <w:p w14:paraId="4F6F50D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10,5</w:t>
            </w:r>
          </w:p>
        </w:tc>
        <w:tc>
          <w:tcPr>
            <w:tcW w:w="1025" w:type="dxa"/>
            <w:tcBorders>
              <w:top w:val="nil"/>
              <w:left w:val="nil"/>
              <w:bottom w:val="single" w:sz="4" w:space="0" w:color="auto"/>
              <w:right w:val="single" w:sz="4" w:space="0" w:color="auto"/>
            </w:tcBorders>
            <w:shd w:val="clear" w:color="auto" w:fill="auto"/>
            <w:vAlign w:val="center"/>
          </w:tcPr>
          <w:p w14:paraId="7C7D68C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9,72</w:t>
            </w:r>
          </w:p>
        </w:tc>
        <w:tc>
          <w:tcPr>
            <w:tcW w:w="972" w:type="dxa"/>
            <w:tcBorders>
              <w:top w:val="nil"/>
              <w:left w:val="nil"/>
              <w:bottom w:val="single" w:sz="4" w:space="0" w:color="auto"/>
              <w:right w:val="single" w:sz="4" w:space="0" w:color="auto"/>
            </w:tcBorders>
            <w:shd w:val="clear" w:color="auto" w:fill="auto"/>
            <w:vAlign w:val="center"/>
          </w:tcPr>
          <w:p w14:paraId="722883D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7,66</w:t>
            </w:r>
          </w:p>
        </w:tc>
        <w:tc>
          <w:tcPr>
            <w:tcW w:w="1099" w:type="dxa"/>
            <w:tcBorders>
              <w:top w:val="nil"/>
              <w:left w:val="nil"/>
              <w:bottom w:val="single" w:sz="4" w:space="0" w:color="auto"/>
              <w:right w:val="single" w:sz="4" w:space="0" w:color="auto"/>
            </w:tcBorders>
            <w:shd w:val="clear" w:color="000000" w:fill="FF00FF"/>
            <w:vAlign w:val="center"/>
          </w:tcPr>
          <w:p w14:paraId="17568CC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6E634E49" w14:textId="77777777" w:rsidR="00E27519" w:rsidRDefault="0003178C">
            <w:pPr>
              <w:suppressAutoHyphens w:val="0"/>
              <w:spacing w:before="0"/>
              <w:jc w:val="center"/>
              <w:rPr>
                <w:rFonts w:asciiTheme="minorHAnsi" w:hAnsiTheme="minorHAnsi" w:cs="Times New Roman"/>
                <w:color w:val="00B050"/>
                <w:sz w:val="20"/>
                <w:lang w:eastAsia="it-IT" w:bidi="ar-SA"/>
              </w:rPr>
            </w:pPr>
            <w:r>
              <w:rPr>
                <w:rFonts w:asciiTheme="minorHAnsi" w:hAnsiTheme="minorHAnsi" w:cs="Times New Roman"/>
                <w:color w:val="00B050"/>
                <w:sz w:val="20"/>
                <w:lang w:eastAsia="it-IT" w:bidi="ar-SA"/>
              </w:rPr>
              <w:t>↑</w:t>
            </w:r>
          </w:p>
        </w:tc>
      </w:tr>
      <w:tr w:rsidR="00E27519" w14:paraId="7C0622DB"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2C823621"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lastRenderedPageBreak/>
              <w:t>Mortalità a 30 giorni dall'intervento di craniotomia per tumore cerebrale</w:t>
            </w:r>
          </w:p>
        </w:tc>
        <w:tc>
          <w:tcPr>
            <w:tcW w:w="546" w:type="dxa"/>
            <w:tcBorders>
              <w:top w:val="nil"/>
              <w:left w:val="nil"/>
              <w:bottom w:val="single" w:sz="4" w:space="0" w:color="auto"/>
              <w:right w:val="single" w:sz="4" w:space="0" w:color="auto"/>
            </w:tcBorders>
            <w:shd w:val="clear" w:color="auto" w:fill="auto"/>
            <w:vAlign w:val="center"/>
          </w:tcPr>
          <w:p w14:paraId="1A63578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1,8</w:t>
            </w:r>
          </w:p>
        </w:tc>
        <w:tc>
          <w:tcPr>
            <w:tcW w:w="1025" w:type="dxa"/>
            <w:tcBorders>
              <w:top w:val="nil"/>
              <w:left w:val="nil"/>
              <w:bottom w:val="single" w:sz="4" w:space="0" w:color="auto"/>
              <w:right w:val="single" w:sz="4" w:space="0" w:color="auto"/>
            </w:tcBorders>
            <w:shd w:val="clear" w:color="auto" w:fill="auto"/>
            <w:vAlign w:val="center"/>
          </w:tcPr>
          <w:p w14:paraId="70225B3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1,29</w:t>
            </w:r>
          </w:p>
        </w:tc>
        <w:tc>
          <w:tcPr>
            <w:tcW w:w="972" w:type="dxa"/>
            <w:tcBorders>
              <w:top w:val="nil"/>
              <w:left w:val="nil"/>
              <w:bottom w:val="single" w:sz="4" w:space="0" w:color="auto"/>
              <w:right w:val="single" w:sz="4" w:space="0" w:color="auto"/>
            </w:tcBorders>
            <w:shd w:val="clear" w:color="auto" w:fill="auto"/>
            <w:vAlign w:val="center"/>
          </w:tcPr>
          <w:p w14:paraId="71133B0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1,34</w:t>
            </w:r>
          </w:p>
        </w:tc>
        <w:tc>
          <w:tcPr>
            <w:tcW w:w="1099" w:type="dxa"/>
            <w:tcBorders>
              <w:top w:val="nil"/>
              <w:left w:val="nil"/>
              <w:bottom w:val="single" w:sz="4" w:space="0" w:color="auto"/>
              <w:right w:val="single" w:sz="4" w:space="0" w:color="auto"/>
            </w:tcBorders>
            <w:shd w:val="clear" w:color="000000" w:fill="FF00FF"/>
            <w:vAlign w:val="center"/>
          </w:tcPr>
          <w:p w14:paraId="09CB7B5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5E479AAF" w14:textId="77777777" w:rsidR="00E27519" w:rsidRDefault="0003178C">
            <w:pPr>
              <w:suppressAutoHyphens w:val="0"/>
              <w:spacing w:before="0"/>
              <w:jc w:val="center"/>
              <w:rPr>
                <w:rFonts w:asciiTheme="minorHAnsi" w:hAnsiTheme="minorHAnsi" w:cs="Times New Roman"/>
                <w:color w:val="FF0000"/>
                <w:sz w:val="20"/>
                <w:lang w:eastAsia="it-IT" w:bidi="ar-SA"/>
              </w:rPr>
            </w:pPr>
            <w:r>
              <w:rPr>
                <w:rFonts w:asciiTheme="minorHAnsi" w:hAnsiTheme="minorHAnsi" w:cs="Times New Roman"/>
                <w:color w:val="FF0000"/>
                <w:sz w:val="20"/>
                <w:lang w:eastAsia="it-IT" w:bidi="ar-SA"/>
              </w:rPr>
              <w:t>↓</w:t>
            </w:r>
          </w:p>
        </w:tc>
      </w:tr>
      <w:tr w:rsidR="00E27519" w14:paraId="02D778AF" w14:textId="77777777" w:rsidTr="00E06E22">
        <w:trPr>
          <w:trHeight w:val="42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1274325C"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Mortalità a 30 giorni per BPCO riacutizzata</w:t>
            </w:r>
          </w:p>
        </w:tc>
        <w:tc>
          <w:tcPr>
            <w:tcW w:w="546" w:type="dxa"/>
            <w:tcBorders>
              <w:top w:val="nil"/>
              <w:left w:val="nil"/>
              <w:bottom w:val="single" w:sz="4" w:space="0" w:color="auto"/>
              <w:right w:val="single" w:sz="4" w:space="0" w:color="auto"/>
            </w:tcBorders>
            <w:shd w:val="clear" w:color="auto" w:fill="auto"/>
            <w:vAlign w:val="center"/>
          </w:tcPr>
          <w:p w14:paraId="0EBC9E3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8,69</w:t>
            </w:r>
          </w:p>
        </w:tc>
        <w:tc>
          <w:tcPr>
            <w:tcW w:w="1025" w:type="dxa"/>
            <w:tcBorders>
              <w:top w:val="nil"/>
              <w:left w:val="nil"/>
              <w:bottom w:val="single" w:sz="4" w:space="0" w:color="auto"/>
              <w:right w:val="single" w:sz="4" w:space="0" w:color="auto"/>
            </w:tcBorders>
            <w:shd w:val="clear" w:color="auto" w:fill="auto"/>
            <w:vAlign w:val="center"/>
          </w:tcPr>
          <w:p w14:paraId="750E263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7,48</w:t>
            </w:r>
          </w:p>
        </w:tc>
        <w:tc>
          <w:tcPr>
            <w:tcW w:w="972" w:type="dxa"/>
            <w:tcBorders>
              <w:top w:val="nil"/>
              <w:left w:val="nil"/>
              <w:bottom w:val="single" w:sz="4" w:space="0" w:color="auto"/>
              <w:right w:val="single" w:sz="4" w:space="0" w:color="auto"/>
            </w:tcBorders>
            <w:shd w:val="clear" w:color="auto" w:fill="auto"/>
            <w:vAlign w:val="center"/>
          </w:tcPr>
          <w:p w14:paraId="3ADD6A2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6,59</w:t>
            </w:r>
          </w:p>
        </w:tc>
        <w:tc>
          <w:tcPr>
            <w:tcW w:w="1099" w:type="dxa"/>
            <w:tcBorders>
              <w:top w:val="nil"/>
              <w:left w:val="nil"/>
              <w:bottom w:val="single" w:sz="4" w:space="0" w:color="auto"/>
              <w:right w:val="single" w:sz="4" w:space="0" w:color="auto"/>
            </w:tcBorders>
            <w:shd w:val="clear" w:color="000000" w:fill="FF00FF"/>
            <w:vAlign w:val="center"/>
          </w:tcPr>
          <w:p w14:paraId="5B3DD6A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6E606389" w14:textId="77777777" w:rsidR="00E27519" w:rsidRDefault="0003178C">
            <w:pPr>
              <w:suppressAutoHyphens w:val="0"/>
              <w:spacing w:before="0"/>
              <w:jc w:val="center"/>
              <w:rPr>
                <w:rFonts w:asciiTheme="minorHAnsi" w:hAnsiTheme="minorHAnsi" w:cs="Times New Roman"/>
                <w:color w:val="00B050"/>
                <w:sz w:val="20"/>
                <w:lang w:eastAsia="it-IT" w:bidi="ar-SA"/>
              </w:rPr>
            </w:pPr>
            <w:r>
              <w:rPr>
                <w:rFonts w:asciiTheme="minorHAnsi" w:hAnsiTheme="minorHAnsi" w:cs="Times New Roman"/>
                <w:color w:val="00B050"/>
                <w:sz w:val="20"/>
                <w:lang w:eastAsia="it-IT" w:bidi="ar-SA"/>
              </w:rPr>
              <w:t>↑</w:t>
            </w:r>
          </w:p>
        </w:tc>
      </w:tr>
      <w:tr w:rsidR="00E27519" w14:paraId="2E65219E"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1F3D731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 di </w:t>
            </w:r>
            <w:proofErr w:type="spellStart"/>
            <w:r>
              <w:rPr>
                <w:rFonts w:asciiTheme="minorHAnsi" w:hAnsiTheme="minorHAnsi" w:cs="Times New Roman"/>
                <w:color w:val="000000"/>
                <w:sz w:val="20"/>
                <w:lang w:eastAsia="it-IT" w:bidi="ar-SA"/>
              </w:rPr>
              <w:t>reinterventi</w:t>
            </w:r>
            <w:proofErr w:type="spellEnd"/>
            <w:r>
              <w:rPr>
                <w:rFonts w:asciiTheme="minorHAnsi" w:hAnsiTheme="minorHAnsi" w:cs="Times New Roman"/>
                <w:color w:val="000000"/>
                <w:sz w:val="20"/>
                <w:lang w:eastAsia="it-IT" w:bidi="ar-SA"/>
              </w:rPr>
              <w:t xml:space="preserve"> entro 120 giorni da intervento conservativo per tumore maligno della mammella</w:t>
            </w:r>
          </w:p>
        </w:tc>
        <w:tc>
          <w:tcPr>
            <w:tcW w:w="546" w:type="dxa"/>
            <w:tcBorders>
              <w:top w:val="nil"/>
              <w:left w:val="nil"/>
              <w:bottom w:val="single" w:sz="4" w:space="0" w:color="auto"/>
              <w:right w:val="single" w:sz="4" w:space="0" w:color="auto"/>
            </w:tcBorders>
            <w:shd w:val="clear" w:color="auto" w:fill="auto"/>
            <w:vAlign w:val="center"/>
          </w:tcPr>
          <w:p w14:paraId="1374347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6,63</w:t>
            </w:r>
          </w:p>
        </w:tc>
        <w:tc>
          <w:tcPr>
            <w:tcW w:w="1025" w:type="dxa"/>
            <w:tcBorders>
              <w:top w:val="nil"/>
              <w:left w:val="nil"/>
              <w:bottom w:val="single" w:sz="4" w:space="0" w:color="auto"/>
              <w:right w:val="single" w:sz="4" w:space="0" w:color="auto"/>
            </w:tcBorders>
            <w:shd w:val="clear" w:color="auto" w:fill="auto"/>
            <w:vAlign w:val="center"/>
          </w:tcPr>
          <w:p w14:paraId="6C0C6E5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4,35</w:t>
            </w:r>
          </w:p>
        </w:tc>
        <w:tc>
          <w:tcPr>
            <w:tcW w:w="972" w:type="dxa"/>
            <w:tcBorders>
              <w:top w:val="nil"/>
              <w:left w:val="nil"/>
              <w:bottom w:val="single" w:sz="4" w:space="0" w:color="auto"/>
              <w:right w:val="single" w:sz="4" w:space="0" w:color="auto"/>
            </w:tcBorders>
            <w:shd w:val="clear" w:color="auto" w:fill="auto"/>
            <w:vAlign w:val="center"/>
          </w:tcPr>
          <w:p w14:paraId="33F1447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2,84</w:t>
            </w:r>
          </w:p>
        </w:tc>
        <w:tc>
          <w:tcPr>
            <w:tcW w:w="1099" w:type="dxa"/>
            <w:tcBorders>
              <w:top w:val="nil"/>
              <w:left w:val="nil"/>
              <w:bottom w:val="single" w:sz="4" w:space="0" w:color="auto"/>
              <w:right w:val="single" w:sz="4" w:space="0" w:color="auto"/>
            </w:tcBorders>
            <w:shd w:val="clear" w:color="000000" w:fill="FF00FF"/>
            <w:vAlign w:val="center"/>
          </w:tcPr>
          <w:p w14:paraId="49DD3D4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4784029D" w14:textId="77777777" w:rsidR="00E27519" w:rsidRDefault="0003178C">
            <w:pPr>
              <w:suppressAutoHyphens w:val="0"/>
              <w:spacing w:before="0"/>
              <w:jc w:val="center"/>
              <w:rPr>
                <w:rFonts w:asciiTheme="minorHAnsi" w:hAnsiTheme="minorHAnsi" w:cs="Times New Roman"/>
                <w:color w:val="00B050"/>
                <w:sz w:val="20"/>
                <w:lang w:eastAsia="it-IT" w:bidi="ar-SA"/>
              </w:rPr>
            </w:pPr>
            <w:r>
              <w:rPr>
                <w:rFonts w:asciiTheme="minorHAnsi" w:hAnsiTheme="minorHAnsi" w:cs="Times New Roman"/>
                <w:color w:val="00B050"/>
                <w:sz w:val="20"/>
                <w:lang w:eastAsia="it-IT" w:bidi="ar-SA"/>
              </w:rPr>
              <w:t>↑</w:t>
            </w:r>
          </w:p>
        </w:tc>
      </w:tr>
      <w:tr w:rsidR="00E27519" w14:paraId="15AA243B"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78C78968"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Mortalità a 30 giorni dall'intervento chirurgico per tumore maligno del polmone</w:t>
            </w:r>
          </w:p>
        </w:tc>
        <w:tc>
          <w:tcPr>
            <w:tcW w:w="546" w:type="dxa"/>
            <w:tcBorders>
              <w:top w:val="nil"/>
              <w:left w:val="nil"/>
              <w:bottom w:val="single" w:sz="4" w:space="0" w:color="auto"/>
              <w:right w:val="single" w:sz="4" w:space="0" w:color="auto"/>
            </w:tcBorders>
            <w:shd w:val="clear" w:color="auto" w:fill="auto"/>
            <w:vAlign w:val="center"/>
          </w:tcPr>
          <w:p w14:paraId="19EF40E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0,9</w:t>
            </w:r>
          </w:p>
        </w:tc>
        <w:tc>
          <w:tcPr>
            <w:tcW w:w="1025" w:type="dxa"/>
            <w:tcBorders>
              <w:top w:val="nil"/>
              <w:left w:val="nil"/>
              <w:bottom w:val="single" w:sz="4" w:space="0" w:color="auto"/>
              <w:right w:val="single" w:sz="4" w:space="0" w:color="auto"/>
            </w:tcBorders>
            <w:shd w:val="clear" w:color="auto" w:fill="auto"/>
            <w:vAlign w:val="center"/>
          </w:tcPr>
          <w:p w14:paraId="0A99F44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w:t>
            </w:r>
          </w:p>
        </w:tc>
        <w:tc>
          <w:tcPr>
            <w:tcW w:w="972" w:type="dxa"/>
            <w:tcBorders>
              <w:top w:val="nil"/>
              <w:left w:val="nil"/>
              <w:bottom w:val="single" w:sz="4" w:space="0" w:color="auto"/>
              <w:right w:val="single" w:sz="4" w:space="0" w:color="auto"/>
            </w:tcBorders>
            <w:shd w:val="clear" w:color="auto" w:fill="auto"/>
            <w:vAlign w:val="center"/>
          </w:tcPr>
          <w:p w14:paraId="4F3DF6A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1099" w:type="dxa"/>
            <w:tcBorders>
              <w:top w:val="nil"/>
              <w:left w:val="nil"/>
              <w:bottom w:val="single" w:sz="4" w:space="0" w:color="auto"/>
              <w:right w:val="single" w:sz="4" w:space="0" w:color="auto"/>
            </w:tcBorders>
            <w:shd w:val="clear" w:color="000000" w:fill="FF00FF"/>
            <w:vAlign w:val="center"/>
          </w:tcPr>
          <w:p w14:paraId="172C45D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1880863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r>
      <w:tr w:rsidR="00E27519" w14:paraId="011050BF"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3B3CB803"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Mortalità a 30 giorni dall'intervento chirurgico per tumore maligno dello stomaco</w:t>
            </w:r>
          </w:p>
        </w:tc>
        <w:tc>
          <w:tcPr>
            <w:tcW w:w="546" w:type="dxa"/>
            <w:tcBorders>
              <w:top w:val="nil"/>
              <w:left w:val="nil"/>
              <w:bottom w:val="single" w:sz="4" w:space="0" w:color="auto"/>
              <w:right w:val="single" w:sz="4" w:space="0" w:color="auto"/>
            </w:tcBorders>
            <w:shd w:val="clear" w:color="auto" w:fill="auto"/>
            <w:vAlign w:val="center"/>
          </w:tcPr>
          <w:p w14:paraId="236C16F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4,33</w:t>
            </w:r>
          </w:p>
        </w:tc>
        <w:tc>
          <w:tcPr>
            <w:tcW w:w="1025" w:type="dxa"/>
            <w:tcBorders>
              <w:top w:val="nil"/>
              <w:left w:val="nil"/>
              <w:bottom w:val="single" w:sz="4" w:space="0" w:color="auto"/>
              <w:right w:val="single" w:sz="4" w:space="0" w:color="auto"/>
            </w:tcBorders>
            <w:shd w:val="clear" w:color="auto" w:fill="auto"/>
            <w:vAlign w:val="center"/>
          </w:tcPr>
          <w:p w14:paraId="04BAE83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3,2</w:t>
            </w:r>
          </w:p>
        </w:tc>
        <w:tc>
          <w:tcPr>
            <w:tcW w:w="972" w:type="dxa"/>
            <w:tcBorders>
              <w:top w:val="nil"/>
              <w:left w:val="nil"/>
              <w:bottom w:val="single" w:sz="4" w:space="0" w:color="auto"/>
              <w:right w:val="single" w:sz="4" w:space="0" w:color="auto"/>
            </w:tcBorders>
            <w:shd w:val="clear" w:color="auto" w:fill="auto"/>
            <w:vAlign w:val="center"/>
          </w:tcPr>
          <w:p w14:paraId="116A521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w:t>
            </w:r>
          </w:p>
        </w:tc>
        <w:tc>
          <w:tcPr>
            <w:tcW w:w="1099" w:type="dxa"/>
            <w:tcBorders>
              <w:top w:val="nil"/>
              <w:left w:val="nil"/>
              <w:bottom w:val="single" w:sz="4" w:space="0" w:color="auto"/>
              <w:right w:val="single" w:sz="4" w:space="0" w:color="auto"/>
            </w:tcBorders>
            <w:shd w:val="clear" w:color="000000" w:fill="FF00FF"/>
            <w:vAlign w:val="center"/>
          </w:tcPr>
          <w:p w14:paraId="36DB9E8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225DBC5F" w14:textId="77777777" w:rsidR="00E27519" w:rsidRDefault="0003178C">
            <w:pPr>
              <w:suppressAutoHyphens w:val="0"/>
              <w:spacing w:before="0"/>
              <w:jc w:val="center"/>
              <w:rPr>
                <w:rFonts w:asciiTheme="minorHAnsi" w:hAnsiTheme="minorHAnsi" w:cs="Times New Roman"/>
                <w:color w:val="FF0000"/>
                <w:sz w:val="20"/>
                <w:lang w:eastAsia="it-IT" w:bidi="ar-SA"/>
              </w:rPr>
            </w:pPr>
            <w:r>
              <w:rPr>
                <w:rFonts w:asciiTheme="minorHAnsi" w:hAnsiTheme="minorHAnsi" w:cs="Times New Roman"/>
                <w:color w:val="FF0000"/>
                <w:sz w:val="20"/>
                <w:lang w:eastAsia="it-IT" w:bidi="ar-SA"/>
              </w:rPr>
              <w:t>↓</w:t>
            </w:r>
          </w:p>
        </w:tc>
      </w:tr>
      <w:tr w:rsidR="00E27519" w14:paraId="245EFF51"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69F666C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Mortalità a 30 giorni dall'intervento chirurgico per tumore maligno del colon</w:t>
            </w:r>
          </w:p>
        </w:tc>
        <w:tc>
          <w:tcPr>
            <w:tcW w:w="546" w:type="dxa"/>
            <w:tcBorders>
              <w:top w:val="nil"/>
              <w:left w:val="nil"/>
              <w:bottom w:val="single" w:sz="4" w:space="0" w:color="auto"/>
              <w:right w:val="single" w:sz="4" w:space="0" w:color="auto"/>
            </w:tcBorders>
            <w:shd w:val="clear" w:color="auto" w:fill="auto"/>
            <w:vAlign w:val="center"/>
          </w:tcPr>
          <w:p w14:paraId="2CD1033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3,96</w:t>
            </w:r>
          </w:p>
        </w:tc>
        <w:tc>
          <w:tcPr>
            <w:tcW w:w="1025" w:type="dxa"/>
            <w:tcBorders>
              <w:top w:val="nil"/>
              <w:left w:val="nil"/>
              <w:bottom w:val="single" w:sz="4" w:space="0" w:color="auto"/>
              <w:right w:val="single" w:sz="4" w:space="0" w:color="auto"/>
            </w:tcBorders>
            <w:shd w:val="clear" w:color="auto" w:fill="auto"/>
            <w:vAlign w:val="center"/>
          </w:tcPr>
          <w:p w14:paraId="6975E32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2,55</w:t>
            </w:r>
          </w:p>
        </w:tc>
        <w:tc>
          <w:tcPr>
            <w:tcW w:w="972" w:type="dxa"/>
            <w:tcBorders>
              <w:top w:val="nil"/>
              <w:left w:val="nil"/>
              <w:bottom w:val="single" w:sz="4" w:space="0" w:color="auto"/>
              <w:right w:val="single" w:sz="4" w:space="0" w:color="auto"/>
            </w:tcBorders>
            <w:shd w:val="clear" w:color="auto" w:fill="auto"/>
            <w:vAlign w:val="center"/>
          </w:tcPr>
          <w:p w14:paraId="6A98E8A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3,02</w:t>
            </w:r>
          </w:p>
        </w:tc>
        <w:tc>
          <w:tcPr>
            <w:tcW w:w="1099" w:type="dxa"/>
            <w:tcBorders>
              <w:top w:val="nil"/>
              <w:left w:val="nil"/>
              <w:bottom w:val="single" w:sz="4" w:space="0" w:color="auto"/>
              <w:right w:val="single" w:sz="4" w:space="0" w:color="auto"/>
            </w:tcBorders>
            <w:shd w:val="clear" w:color="000000" w:fill="FF00FF"/>
            <w:vAlign w:val="center"/>
          </w:tcPr>
          <w:p w14:paraId="0722F89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63A74DC2" w14:textId="77777777" w:rsidR="00E27519" w:rsidRDefault="0003178C">
            <w:pPr>
              <w:suppressAutoHyphens w:val="0"/>
              <w:spacing w:before="0"/>
              <w:jc w:val="center"/>
              <w:rPr>
                <w:rFonts w:asciiTheme="minorHAnsi" w:hAnsiTheme="minorHAnsi" w:cs="Times New Roman"/>
                <w:color w:val="FF0000"/>
                <w:sz w:val="20"/>
                <w:lang w:eastAsia="it-IT" w:bidi="ar-SA"/>
              </w:rPr>
            </w:pPr>
            <w:r>
              <w:rPr>
                <w:rFonts w:asciiTheme="minorHAnsi" w:hAnsiTheme="minorHAnsi" w:cs="Times New Roman"/>
                <w:color w:val="FF0000"/>
                <w:sz w:val="20"/>
                <w:lang w:eastAsia="it-IT" w:bidi="ar-SA"/>
              </w:rPr>
              <w:t>↓</w:t>
            </w:r>
          </w:p>
        </w:tc>
      </w:tr>
      <w:tr w:rsidR="00E27519" w14:paraId="5AC93426"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6B759938"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complicanze durante parto e puerperio in parti naturali</w:t>
            </w:r>
          </w:p>
        </w:tc>
        <w:tc>
          <w:tcPr>
            <w:tcW w:w="546" w:type="dxa"/>
            <w:tcBorders>
              <w:top w:val="nil"/>
              <w:left w:val="nil"/>
              <w:bottom w:val="single" w:sz="4" w:space="0" w:color="auto"/>
              <w:right w:val="single" w:sz="4" w:space="0" w:color="auto"/>
            </w:tcBorders>
            <w:shd w:val="clear" w:color="auto" w:fill="auto"/>
            <w:vAlign w:val="center"/>
          </w:tcPr>
          <w:p w14:paraId="1983EE8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0,86</w:t>
            </w:r>
          </w:p>
        </w:tc>
        <w:tc>
          <w:tcPr>
            <w:tcW w:w="1025" w:type="dxa"/>
            <w:tcBorders>
              <w:top w:val="nil"/>
              <w:left w:val="nil"/>
              <w:bottom w:val="single" w:sz="4" w:space="0" w:color="auto"/>
              <w:right w:val="single" w:sz="4" w:space="0" w:color="auto"/>
            </w:tcBorders>
            <w:shd w:val="clear" w:color="auto" w:fill="auto"/>
            <w:vAlign w:val="center"/>
          </w:tcPr>
          <w:p w14:paraId="7562B48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0,88</w:t>
            </w:r>
          </w:p>
        </w:tc>
        <w:tc>
          <w:tcPr>
            <w:tcW w:w="972" w:type="dxa"/>
            <w:tcBorders>
              <w:top w:val="nil"/>
              <w:left w:val="nil"/>
              <w:bottom w:val="single" w:sz="4" w:space="0" w:color="auto"/>
              <w:right w:val="single" w:sz="4" w:space="0" w:color="auto"/>
            </w:tcBorders>
            <w:shd w:val="clear" w:color="auto" w:fill="auto"/>
            <w:vAlign w:val="center"/>
          </w:tcPr>
          <w:p w14:paraId="66B509D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0,76</w:t>
            </w:r>
          </w:p>
        </w:tc>
        <w:tc>
          <w:tcPr>
            <w:tcW w:w="1099" w:type="dxa"/>
            <w:tcBorders>
              <w:top w:val="nil"/>
              <w:left w:val="nil"/>
              <w:bottom w:val="single" w:sz="4" w:space="0" w:color="auto"/>
              <w:right w:val="single" w:sz="4" w:space="0" w:color="auto"/>
            </w:tcBorders>
            <w:shd w:val="clear" w:color="000000" w:fill="FF00FF"/>
            <w:vAlign w:val="center"/>
          </w:tcPr>
          <w:p w14:paraId="4A486DA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57A4727E" w14:textId="77777777" w:rsidR="00E27519" w:rsidRDefault="0003178C">
            <w:pPr>
              <w:suppressAutoHyphens w:val="0"/>
              <w:spacing w:before="0"/>
              <w:jc w:val="center"/>
              <w:rPr>
                <w:rFonts w:asciiTheme="minorHAnsi" w:hAnsiTheme="minorHAnsi" w:cs="Times New Roman"/>
                <w:color w:val="00B050"/>
                <w:sz w:val="20"/>
                <w:lang w:eastAsia="it-IT" w:bidi="ar-SA"/>
              </w:rPr>
            </w:pPr>
            <w:r>
              <w:rPr>
                <w:rFonts w:asciiTheme="minorHAnsi" w:hAnsiTheme="minorHAnsi" w:cs="Times New Roman"/>
                <w:color w:val="00B050"/>
                <w:sz w:val="20"/>
                <w:lang w:eastAsia="it-IT" w:bidi="ar-SA"/>
              </w:rPr>
              <w:t>↑</w:t>
            </w:r>
          </w:p>
        </w:tc>
      </w:tr>
      <w:tr w:rsidR="00E27519" w14:paraId="3B10789B"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73E2709D"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complicanze durante parto e puerperio in parti cesarei</w:t>
            </w:r>
          </w:p>
        </w:tc>
        <w:tc>
          <w:tcPr>
            <w:tcW w:w="546" w:type="dxa"/>
            <w:tcBorders>
              <w:top w:val="nil"/>
              <w:left w:val="nil"/>
              <w:bottom w:val="single" w:sz="4" w:space="0" w:color="auto"/>
              <w:right w:val="single" w:sz="4" w:space="0" w:color="auto"/>
            </w:tcBorders>
            <w:shd w:val="clear" w:color="auto" w:fill="auto"/>
            <w:vAlign w:val="center"/>
          </w:tcPr>
          <w:p w14:paraId="51073CE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0,82</w:t>
            </w:r>
          </w:p>
        </w:tc>
        <w:tc>
          <w:tcPr>
            <w:tcW w:w="1025" w:type="dxa"/>
            <w:tcBorders>
              <w:top w:val="nil"/>
              <w:left w:val="nil"/>
              <w:bottom w:val="single" w:sz="4" w:space="0" w:color="auto"/>
              <w:right w:val="single" w:sz="4" w:space="0" w:color="auto"/>
            </w:tcBorders>
            <w:shd w:val="clear" w:color="auto" w:fill="auto"/>
            <w:vAlign w:val="center"/>
          </w:tcPr>
          <w:p w14:paraId="1DB9671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0,8</w:t>
            </w:r>
          </w:p>
        </w:tc>
        <w:tc>
          <w:tcPr>
            <w:tcW w:w="972" w:type="dxa"/>
            <w:tcBorders>
              <w:top w:val="nil"/>
              <w:left w:val="nil"/>
              <w:bottom w:val="single" w:sz="4" w:space="0" w:color="auto"/>
              <w:right w:val="single" w:sz="4" w:space="0" w:color="auto"/>
            </w:tcBorders>
            <w:shd w:val="clear" w:color="auto" w:fill="auto"/>
            <w:vAlign w:val="center"/>
          </w:tcPr>
          <w:p w14:paraId="6CB4445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0,77</w:t>
            </w:r>
          </w:p>
        </w:tc>
        <w:tc>
          <w:tcPr>
            <w:tcW w:w="1099" w:type="dxa"/>
            <w:tcBorders>
              <w:top w:val="nil"/>
              <w:left w:val="nil"/>
              <w:bottom w:val="single" w:sz="4" w:space="0" w:color="auto"/>
              <w:right w:val="single" w:sz="4" w:space="0" w:color="auto"/>
            </w:tcBorders>
            <w:shd w:val="clear" w:color="000000" w:fill="FF00FF"/>
            <w:vAlign w:val="center"/>
          </w:tcPr>
          <w:p w14:paraId="5AAE311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679E32D1" w14:textId="77777777" w:rsidR="00E27519" w:rsidRDefault="0003178C">
            <w:pPr>
              <w:suppressAutoHyphens w:val="0"/>
              <w:spacing w:before="0"/>
              <w:jc w:val="center"/>
              <w:rPr>
                <w:rFonts w:asciiTheme="minorHAnsi" w:hAnsiTheme="minorHAnsi" w:cs="Times New Roman"/>
                <w:color w:val="00B050"/>
                <w:sz w:val="20"/>
                <w:lang w:eastAsia="it-IT" w:bidi="ar-SA"/>
              </w:rPr>
            </w:pPr>
            <w:r>
              <w:rPr>
                <w:rFonts w:asciiTheme="minorHAnsi" w:hAnsiTheme="minorHAnsi" w:cs="Times New Roman"/>
                <w:color w:val="00B050"/>
                <w:sz w:val="20"/>
                <w:lang w:eastAsia="it-IT" w:bidi="ar-SA"/>
              </w:rPr>
              <w:t>↑</w:t>
            </w:r>
          </w:p>
        </w:tc>
      </w:tr>
      <w:tr w:rsidR="00E27519" w14:paraId="4EC1B9B8"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01EFB5BE"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interventi chirurgici per frattura del collo del femore effettuati entro 2 giorni dall'ammissione</w:t>
            </w:r>
          </w:p>
        </w:tc>
        <w:tc>
          <w:tcPr>
            <w:tcW w:w="546" w:type="dxa"/>
            <w:tcBorders>
              <w:top w:val="nil"/>
              <w:left w:val="nil"/>
              <w:bottom w:val="single" w:sz="4" w:space="0" w:color="auto"/>
              <w:right w:val="single" w:sz="4" w:space="0" w:color="auto"/>
            </w:tcBorders>
            <w:shd w:val="clear" w:color="auto" w:fill="auto"/>
            <w:vAlign w:val="center"/>
          </w:tcPr>
          <w:p w14:paraId="641BEEE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70,1</w:t>
            </w:r>
          </w:p>
        </w:tc>
        <w:tc>
          <w:tcPr>
            <w:tcW w:w="1025" w:type="dxa"/>
            <w:tcBorders>
              <w:top w:val="nil"/>
              <w:left w:val="nil"/>
              <w:bottom w:val="single" w:sz="4" w:space="0" w:color="auto"/>
              <w:right w:val="single" w:sz="4" w:space="0" w:color="auto"/>
            </w:tcBorders>
            <w:shd w:val="clear" w:color="auto" w:fill="auto"/>
            <w:vAlign w:val="center"/>
          </w:tcPr>
          <w:p w14:paraId="1EA9B6B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65,45</w:t>
            </w:r>
          </w:p>
        </w:tc>
        <w:tc>
          <w:tcPr>
            <w:tcW w:w="972" w:type="dxa"/>
            <w:tcBorders>
              <w:top w:val="nil"/>
              <w:left w:val="nil"/>
              <w:bottom w:val="single" w:sz="4" w:space="0" w:color="auto"/>
              <w:right w:val="single" w:sz="4" w:space="0" w:color="auto"/>
            </w:tcBorders>
            <w:shd w:val="clear" w:color="auto" w:fill="auto"/>
            <w:vAlign w:val="center"/>
          </w:tcPr>
          <w:p w14:paraId="6FD3794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64,49</w:t>
            </w:r>
          </w:p>
        </w:tc>
        <w:tc>
          <w:tcPr>
            <w:tcW w:w="1099" w:type="dxa"/>
            <w:tcBorders>
              <w:top w:val="nil"/>
              <w:left w:val="nil"/>
              <w:bottom w:val="single" w:sz="4" w:space="0" w:color="auto"/>
              <w:right w:val="single" w:sz="4" w:space="0" w:color="auto"/>
            </w:tcBorders>
            <w:shd w:val="clear" w:color="000000" w:fill="FF00FF"/>
            <w:vAlign w:val="center"/>
          </w:tcPr>
          <w:p w14:paraId="1EE14B4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4410ACCB" w14:textId="77777777" w:rsidR="00E27519" w:rsidRDefault="0003178C">
            <w:pPr>
              <w:suppressAutoHyphens w:val="0"/>
              <w:spacing w:before="0"/>
              <w:jc w:val="center"/>
              <w:rPr>
                <w:rFonts w:asciiTheme="minorHAnsi" w:hAnsiTheme="minorHAnsi" w:cs="Times New Roman"/>
                <w:color w:val="FF0000"/>
                <w:sz w:val="20"/>
                <w:lang w:eastAsia="it-IT" w:bidi="ar-SA"/>
              </w:rPr>
            </w:pPr>
            <w:r>
              <w:rPr>
                <w:rFonts w:asciiTheme="minorHAnsi" w:hAnsiTheme="minorHAnsi" w:cs="Times New Roman"/>
                <w:color w:val="FF0000"/>
                <w:sz w:val="20"/>
                <w:lang w:eastAsia="it-IT" w:bidi="ar-SA"/>
              </w:rPr>
              <w:t>↓</w:t>
            </w:r>
          </w:p>
        </w:tc>
      </w:tr>
      <w:tr w:rsidR="00E27519" w14:paraId="7EB13F90" w14:textId="77777777" w:rsidTr="00E06E22">
        <w:trPr>
          <w:trHeight w:val="42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78FE96BD"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Proporzione di parti con taglio cesareo primario</w:t>
            </w:r>
          </w:p>
        </w:tc>
        <w:tc>
          <w:tcPr>
            <w:tcW w:w="546" w:type="dxa"/>
            <w:tcBorders>
              <w:top w:val="nil"/>
              <w:left w:val="nil"/>
              <w:bottom w:val="single" w:sz="4" w:space="0" w:color="auto"/>
              <w:right w:val="single" w:sz="4" w:space="0" w:color="auto"/>
            </w:tcBorders>
            <w:shd w:val="clear" w:color="auto" w:fill="auto"/>
            <w:vAlign w:val="center"/>
          </w:tcPr>
          <w:p w14:paraId="59E9DB2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18,5</w:t>
            </w:r>
          </w:p>
        </w:tc>
        <w:tc>
          <w:tcPr>
            <w:tcW w:w="1025" w:type="dxa"/>
            <w:tcBorders>
              <w:top w:val="nil"/>
              <w:left w:val="nil"/>
              <w:bottom w:val="single" w:sz="4" w:space="0" w:color="auto"/>
              <w:right w:val="single" w:sz="4" w:space="0" w:color="auto"/>
            </w:tcBorders>
            <w:shd w:val="clear" w:color="auto" w:fill="auto"/>
            <w:vAlign w:val="center"/>
          </w:tcPr>
          <w:p w14:paraId="7B884E3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11,81</w:t>
            </w:r>
          </w:p>
        </w:tc>
        <w:tc>
          <w:tcPr>
            <w:tcW w:w="972" w:type="dxa"/>
            <w:tcBorders>
              <w:top w:val="nil"/>
              <w:left w:val="nil"/>
              <w:bottom w:val="single" w:sz="4" w:space="0" w:color="auto"/>
              <w:right w:val="single" w:sz="4" w:space="0" w:color="auto"/>
            </w:tcBorders>
            <w:shd w:val="clear" w:color="auto" w:fill="auto"/>
            <w:vAlign w:val="center"/>
          </w:tcPr>
          <w:p w14:paraId="372E5E6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12,13</w:t>
            </w:r>
          </w:p>
        </w:tc>
        <w:tc>
          <w:tcPr>
            <w:tcW w:w="1099" w:type="dxa"/>
            <w:tcBorders>
              <w:top w:val="nil"/>
              <w:left w:val="nil"/>
              <w:bottom w:val="single" w:sz="4" w:space="0" w:color="auto"/>
              <w:right w:val="single" w:sz="4" w:space="0" w:color="auto"/>
            </w:tcBorders>
            <w:shd w:val="clear" w:color="000000" w:fill="FF00FF"/>
            <w:vAlign w:val="center"/>
          </w:tcPr>
          <w:p w14:paraId="08E8E3D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6979BF6A" w14:textId="77777777" w:rsidR="00E27519" w:rsidRDefault="0003178C">
            <w:pPr>
              <w:suppressAutoHyphens w:val="0"/>
              <w:spacing w:before="0"/>
              <w:jc w:val="center"/>
              <w:rPr>
                <w:rFonts w:asciiTheme="minorHAnsi" w:hAnsiTheme="minorHAnsi" w:cs="Times New Roman"/>
                <w:color w:val="FF0000"/>
                <w:sz w:val="20"/>
                <w:lang w:eastAsia="it-IT" w:bidi="ar-SA"/>
              </w:rPr>
            </w:pPr>
            <w:r>
              <w:rPr>
                <w:rFonts w:asciiTheme="minorHAnsi" w:hAnsiTheme="minorHAnsi" w:cs="Times New Roman"/>
                <w:color w:val="FF0000"/>
                <w:sz w:val="20"/>
                <w:lang w:eastAsia="it-IT" w:bidi="ar-SA"/>
              </w:rPr>
              <w:t>↓</w:t>
            </w:r>
          </w:p>
        </w:tc>
      </w:tr>
      <w:tr w:rsidR="00E27519" w14:paraId="72E5D336"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70E07364"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interventi per colecistectomia laparoscopica effettuati in reparti con volume di attività superiore a 90 casi annui</w:t>
            </w:r>
          </w:p>
        </w:tc>
        <w:tc>
          <w:tcPr>
            <w:tcW w:w="546" w:type="dxa"/>
            <w:tcBorders>
              <w:top w:val="nil"/>
              <w:left w:val="nil"/>
              <w:bottom w:val="single" w:sz="4" w:space="0" w:color="auto"/>
              <w:right w:val="single" w:sz="4" w:space="0" w:color="auto"/>
            </w:tcBorders>
            <w:shd w:val="clear" w:color="auto" w:fill="auto"/>
            <w:vAlign w:val="center"/>
          </w:tcPr>
          <w:p w14:paraId="6DB7BBB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73,8</w:t>
            </w:r>
          </w:p>
        </w:tc>
        <w:tc>
          <w:tcPr>
            <w:tcW w:w="1025" w:type="dxa"/>
            <w:tcBorders>
              <w:top w:val="nil"/>
              <w:left w:val="nil"/>
              <w:bottom w:val="single" w:sz="4" w:space="0" w:color="auto"/>
              <w:right w:val="single" w:sz="4" w:space="0" w:color="auto"/>
            </w:tcBorders>
            <w:shd w:val="clear" w:color="auto" w:fill="auto"/>
            <w:vAlign w:val="center"/>
          </w:tcPr>
          <w:p w14:paraId="3CAA179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89,07</w:t>
            </w:r>
          </w:p>
        </w:tc>
        <w:tc>
          <w:tcPr>
            <w:tcW w:w="972" w:type="dxa"/>
            <w:tcBorders>
              <w:top w:val="nil"/>
              <w:left w:val="nil"/>
              <w:bottom w:val="single" w:sz="4" w:space="0" w:color="auto"/>
              <w:right w:val="single" w:sz="4" w:space="0" w:color="auto"/>
            </w:tcBorders>
            <w:shd w:val="clear" w:color="auto" w:fill="auto"/>
            <w:vAlign w:val="center"/>
          </w:tcPr>
          <w:p w14:paraId="645855F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89,24</w:t>
            </w:r>
          </w:p>
        </w:tc>
        <w:tc>
          <w:tcPr>
            <w:tcW w:w="1099" w:type="dxa"/>
            <w:tcBorders>
              <w:top w:val="nil"/>
              <w:left w:val="nil"/>
              <w:bottom w:val="single" w:sz="4" w:space="0" w:color="auto"/>
              <w:right w:val="single" w:sz="4" w:space="0" w:color="auto"/>
            </w:tcBorders>
            <w:shd w:val="clear" w:color="000000" w:fill="0070C0"/>
            <w:vAlign w:val="center"/>
          </w:tcPr>
          <w:p w14:paraId="2BE701E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5841E47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r>
      <w:tr w:rsidR="00E27519" w14:paraId="7A9F1B80" w14:textId="77777777" w:rsidTr="00E06E22">
        <w:trPr>
          <w:trHeight w:val="9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75E4AABC"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interventi per tumore maligno della mammella effettuati in reparti con volume di attività superiore a 135 casi annui</w:t>
            </w:r>
          </w:p>
        </w:tc>
        <w:tc>
          <w:tcPr>
            <w:tcW w:w="546" w:type="dxa"/>
            <w:tcBorders>
              <w:top w:val="nil"/>
              <w:left w:val="nil"/>
              <w:bottom w:val="single" w:sz="4" w:space="0" w:color="auto"/>
              <w:right w:val="single" w:sz="4" w:space="0" w:color="auto"/>
            </w:tcBorders>
            <w:shd w:val="clear" w:color="auto" w:fill="auto"/>
            <w:vAlign w:val="center"/>
          </w:tcPr>
          <w:p w14:paraId="6076F2B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78,6</w:t>
            </w:r>
          </w:p>
        </w:tc>
        <w:tc>
          <w:tcPr>
            <w:tcW w:w="1025" w:type="dxa"/>
            <w:tcBorders>
              <w:top w:val="nil"/>
              <w:left w:val="nil"/>
              <w:bottom w:val="single" w:sz="4" w:space="0" w:color="auto"/>
              <w:right w:val="single" w:sz="4" w:space="0" w:color="auto"/>
            </w:tcBorders>
            <w:shd w:val="clear" w:color="auto" w:fill="auto"/>
            <w:vAlign w:val="center"/>
          </w:tcPr>
          <w:p w14:paraId="4E496F0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84,35</w:t>
            </w:r>
          </w:p>
        </w:tc>
        <w:tc>
          <w:tcPr>
            <w:tcW w:w="972" w:type="dxa"/>
            <w:tcBorders>
              <w:top w:val="nil"/>
              <w:left w:val="nil"/>
              <w:bottom w:val="single" w:sz="4" w:space="0" w:color="auto"/>
              <w:right w:val="single" w:sz="4" w:space="0" w:color="auto"/>
            </w:tcBorders>
            <w:shd w:val="clear" w:color="auto" w:fill="auto"/>
            <w:vAlign w:val="center"/>
          </w:tcPr>
          <w:p w14:paraId="7234591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88,52</w:t>
            </w:r>
          </w:p>
        </w:tc>
        <w:tc>
          <w:tcPr>
            <w:tcW w:w="1099" w:type="dxa"/>
            <w:tcBorders>
              <w:top w:val="nil"/>
              <w:left w:val="nil"/>
              <w:bottom w:val="single" w:sz="4" w:space="0" w:color="auto"/>
              <w:right w:val="single" w:sz="4" w:space="0" w:color="auto"/>
            </w:tcBorders>
            <w:shd w:val="clear" w:color="000000" w:fill="0070C0"/>
            <w:vAlign w:val="center"/>
          </w:tcPr>
          <w:p w14:paraId="5D4BD95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41DDF22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r>
      <w:tr w:rsidR="00E27519" w14:paraId="6F01DFA6" w14:textId="77777777" w:rsidTr="00E06E22">
        <w:trPr>
          <w:trHeight w:val="600"/>
          <w:jc w:val="center"/>
        </w:trPr>
        <w:tc>
          <w:tcPr>
            <w:tcW w:w="5937" w:type="dxa"/>
            <w:tcBorders>
              <w:top w:val="nil"/>
              <w:left w:val="single" w:sz="4" w:space="0" w:color="auto"/>
              <w:bottom w:val="single" w:sz="4" w:space="0" w:color="auto"/>
              <w:right w:val="single" w:sz="4" w:space="0" w:color="auto"/>
            </w:tcBorders>
            <w:shd w:val="clear" w:color="auto" w:fill="auto"/>
            <w:vAlign w:val="center"/>
          </w:tcPr>
          <w:p w14:paraId="44EF0831"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Tempi di attesa per intervento chirurgico per frattura tibia/perone</w:t>
            </w:r>
          </w:p>
        </w:tc>
        <w:tc>
          <w:tcPr>
            <w:tcW w:w="546" w:type="dxa"/>
            <w:tcBorders>
              <w:top w:val="nil"/>
              <w:left w:val="nil"/>
              <w:bottom w:val="single" w:sz="4" w:space="0" w:color="auto"/>
              <w:right w:val="single" w:sz="4" w:space="0" w:color="auto"/>
            </w:tcBorders>
            <w:shd w:val="clear" w:color="auto" w:fill="auto"/>
            <w:vAlign w:val="center"/>
          </w:tcPr>
          <w:p w14:paraId="211A220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w:t>
            </w:r>
          </w:p>
        </w:tc>
        <w:tc>
          <w:tcPr>
            <w:tcW w:w="1025" w:type="dxa"/>
            <w:tcBorders>
              <w:top w:val="nil"/>
              <w:left w:val="nil"/>
              <w:bottom w:val="single" w:sz="4" w:space="0" w:color="auto"/>
              <w:right w:val="single" w:sz="4" w:space="0" w:color="auto"/>
            </w:tcBorders>
            <w:shd w:val="clear" w:color="auto" w:fill="auto"/>
            <w:vAlign w:val="center"/>
          </w:tcPr>
          <w:p w14:paraId="02986BC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w:t>
            </w:r>
          </w:p>
        </w:tc>
        <w:tc>
          <w:tcPr>
            <w:tcW w:w="972" w:type="dxa"/>
            <w:tcBorders>
              <w:top w:val="nil"/>
              <w:left w:val="nil"/>
              <w:bottom w:val="single" w:sz="4" w:space="0" w:color="auto"/>
              <w:right w:val="single" w:sz="4" w:space="0" w:color="auto"/>
            </w:tcBorders>
            <w:shd w:val="clear" w:color="auto" w:fill="auto"/>
            <w:vAlign w:val="center"/>
          </w:tcPr>
          <w:p w14:paraId="2C6B166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w:t>
            </w:r>
          </w:p>
        </w:tc>
        <w:tc>
          <w:tcPr>
            <w:tcW w:w="1099" w:type="dxa"/>
            <w:tcBorders>
              <w:top w:val="nil"/>
              <w:left w:val="nil"/>
              <w:bottom w:val="single" w:sz="4" w:space="0" w:color="auto"/>
              <w:right w:val="single" w:sz="4" w:space="0" w:color="auto"/>
            </w:tcBorders>
            <w:shd w:val="clear" w:color="000000" w:fill="0070C0"/>
            <w:vAlign w:val="center"/>
          </w:tcPr>
          <w:p w14:paraId="2346F28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17" w:type="dxa"/>
            <w:tcBorders>
              <w:top w:val="nil"/>
              <w:left w:val="nil"/>
              <w:bottom w:val="single" w:sz="4" w:space="0" w:color="auto"/>
              <w:right w:val="single" w:sz="4" w:space="0" w:color="auto"/>
            </w:tcBorders>
            <w:shd w:val="clear" w:color="auto" w:fill="auto"/>
            <w:vAlign w:val="center"/>
          </w:tcPr>
          <w:p w14:paraId="73D289E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r>
    </w:tbl>
    <w:p w14:paraId="35EDD712" w14:textId="77777777" w:rsidR="00E27519" w:rsidRDefault="0003178C">
      <w:pPr>
        <w:ind w:right="284"/>
        <w:jc w:val="both"/>
        <w:rPr>
          <w:rFonts w:asciiTheme="minorHAnsi" w:eastAsia="Calibri" w:hAnsiTheme="minorHAnsi"/>
          <w:sz w:val="16"/>
          <w:lang w:eastAsia="en-US"/>
        </w:rPr>
      </w:pPr>
      <w:r>
        <w:rPr>
          <w:rFonts w:eastAsia="Calibri"/>
          <w:sz w:val="16"/>
          <w:lang w:eastAsia="en-US"/>
        </w:rPr>
        <w:t xml:space="preserve">Fonte: Regione Emilia Romagna, SIVER, 2016. </w:t>
      </w:r>
      <w:hyperlink r:id="rId29" w:history="1">
        <w:r>
          <w:rPr>
            <w:rStyle w:val="Collegamentoipertestuale"/>
            <w:rFonts w:eastAsia="Calibri"/>
            <w:sz w:val="16"/>
            <w:lang w:eastAsia="en-US"/>
          </w:rPr>
          <w:t>http://salute.regione.emilia-romagna.it/siseps/siver</w:t>
        </w:r>
      </w:hyperlink>
      <w:r>
        <w:rPr>
          <w:rFonts w:eastAsia="Calibri"/>
          <w:sz w:val="16"/>
          <w:lang w:eastAsia="en-US"/>
        </w:rPr>
        <w:t xml:space="preserve">. </w:t>
      </w:r>
    </w:p>
    <w:p w14:paraId="00609972" w14:textId="77777777" w:rsidR="00E27519" w:rsidRDefault="00E27519">
      <w:pPr>
        <w:spacing w:after="120"/>
        <w:contextualSpacing/>
        <w:jc w:val="both"/>
        <w:rPr>
          <w:rFonts w:eastAsia="Calibri"/>
          <w:sz w:val="20"/>
          <w:lang w:eastAsia="en-US"/>
        </w:rPr>
      </w:pPr>
    </w:p>
    <w:p w14:paraId="14EB5DF8" w14:textId="77777777" w:rsidR="00E27519" w:rsidRDefault="0003178C">
      <w:pPr>
        <w:spacing w:after="120"/>
        <w:contextualSpacing/>
        <w:jc w:val="both"/>
        <w:rPr>
          <w:rFonts w:eastAsia="Calibri"/>
          <w:sz w:val="20"/>
          <w:lang w:eastAsia="en-US"/>
        </w:rPr>
      </w:pPr>
      <w:r>
        <w:rPr>
          <w:rFonts w:eastAsia="Calibri"/>
          <w:sz w:val="20"/>
          <w:lang w:eastAsia="en-US"/>
        </w:rPr>
        <w:t>Produzione Ospedale</w:t>
      </w:r>
    </w:p>
    <w:tbl>
      <w:tblPr>
        <w:tblW w:w="9800" w:type="dxa"/>
        <w:jc w:val="center"/>
        <w:tblLayout w:type="fixed"/>
        <w:tblCellMar>
          <w:left w:w="70" w:type="dxa"/>
          <w:right w:w="70" w:type="dxa"/>
        </w:tblCellMar>
        <w:tblLook w:val="04A0" w:firstRow="1" w:lastRow="0" w:firstColumn="1" w:lastColumn="0" w:noHBand="0" w:noVBand="1"/>
      </w:tblPr>
      <w:tblGrid>
        <w:gridCol w:w="4397"/>
        <w:gridCol w:w="959"/>
        <w:gridCol w:w="1302"/>
        <w:gridCol w:w="1403"/>
        <w:gridCol w:w="1099"/>
        <w:gridCol w:w="640"/>
      </w:tblGrid>
      <w:tr w:rsidR="00E27519" w14:paraId="26621DA2" w14:textId="77777777" w:rsidTr="00E06E22">
        <w:trPr>
          <w:trHeight w:val="600"/>
          <w:jc w:val="center"/>
        </w:trPr>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14:paraId="2480A56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Indicatore</w:t>
            </w:r>
          </w:p>
        </w:tc>
        <w:tc>
          <w:tcPr>
            <w:tcW w:w="959" w:type="dxa"/>
            <w:tcBorders>
              <w:top w:val="single" w:sz="2" w:space="0" w:color="auto"/>
              <w:left w:val="nil"/>
              <w:bottom w:val="single" w:sz="2" w:space="0" w:color="auto"/>
              <w:right w:val="single" w:sz="2" w:space="0" w:color="auto"/>
            </w:tcBorders>
            <w:shd w:val="clear" w:color="auto" w:fill="auto"/>
            <w:vAlign w:val="center"/>
          </w:tcPr>
          <w:p w14:paraId="7655112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387FB07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302" w:type="dxa"/>
            <w:tcBorders>
              <w:top w:val="single" w:sz="4" w:space="0" w:color="auto"/>
              <w:left w:val="nil"/>
              <w:bottom w:val="single" w:sz="4" w:space="0" w:color="auto"/>
              <w:right w:val="single" w:sz="4" w:space="0" w:color="auto"/>
            </w:tcBorders>
            <w:shd w:val="clear" w:color="auto" w:fill="auto"/>
            <w:vAlign w:val="center"/>
          </w:tcPr>
          <w:p w14:paraId="15A211D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1403" w:type="dxa"/>
            <w:tcBorders>
              <w:top w:val="single" w:sz="4" w:space="0" w:color="auto"/>
              <w:left w:val="nil"/>
              <w:bottom w:val="single" w:sz="4" w:space="0" w:color="auto"/>
              <w:right w:val="single" w:sz="4" w:space="0" w:color="auto"/>
            </w:tcBorders>
            <w:shd w:val="clear" w:color="auto" w:fill="auto"/>
            <w:vAlign w:val="center"/>
          </w:tcPr>
          <w:p w14:paraId="0594011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19FA6C8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99" w:type="dxa"/>
            <w:tcBorders>
              <w:top w:val="single" w:sz="4" w:space="0" w:color="auto"/>
              <w:left w:val="nil"/>
              <w:bottom w:val="single" w:sz="4" w:space="0" w:color="auto"/>
              <w:right w:val="single" w:sz="4" w:space="0" w:color="auto"/>
            </w:tcBorders>
            <w:shd w:val="clear" w:color="auto" w:fill="auto"/>
            <w:vAlign w:val="center"/>
          </w:tcPr>
          <w:p w14:paraId="37215D9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161043B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640" w:type="dxa"/>
            <w:tcBorders>
              <w:top w:val="single" w:sz="4" w:space="0" w:color="auto"/>
              <w:left w:val="nil"/>
              <w:bottom w:val="single" w:sz="4" w:space="0" w:color="auto"/>
              <w:right w:val="single" w:sz="4" w:space="0" w:color="auto"/>
            </w:tcBorders>
            <w:shd w:val="clear" w:color="auto" w:fill="auto"/>
            <w:vAlign w:val="center"/>
          </w:tcPr>
          <w:p w14:paraId="0901D55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5AAD7C7B" w14:textId="77777777" w:rsidTr="00E06E22">
        <w:trPr>
          <w:trHeight w:val="600"/>
          <w:jc w:val="center"/>
        </w:trPr>
        <w:tc>
          <w:tcPr>
            <w:tcW w:w="4397" w:type="dxa"/>
            <w:tcBorders>
              <w:top w:val="nil"/>
              <w:left w:val="single" w:sz="4" w:space="0" w:color="auto"/>
              <w:bottom w:val="single" w:sz="4" w:space="0" w:color="auto"/>
              <w:right w:val="single" w:sz="4" w:space="0" w:color="auto"/>
            </w:tcBorders>
            <w:shd w:val="clear" w:color="auto" w:fill="auto"/>
            <w:vAlign w:val="center"/>
          </w:tcPr>
          <w:p w14:paraId="1D179E14"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ricoveri medici oltre soglia per pazienti di età &gt;= 65 anni</w:t>
            </w:r>
          </w:p>
        </w:tc>
        <w:tc>
          <w:tcPr>
            <w:tcW w:w="959" w:type="dxa"/>
            <w:tcBorders>
              <w:top w:val="nil"/>
              <w:left w:val="nil"/>
              <w:bottom w:val="single" w:sz="4" w:space="0" w:color="auto"/>
              <w:right w:val="single" w:sz="4" w:space="0" w:color="auto"/>
            </w:tcBorders>
            <w:shd w:val="clear" w:color="auto" w:fill="auto"/>
            <w:vAlign w:val="center"/>
          </w:tcPr>
          <w:p w14:paraId="2E18310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3,34</w:t>
            </w:r>
          </w:p>
        </w:tc>
        <w:tc>
          <w:tcPr>
            <w:tcW w:w="1302" w:type="dxa"/>
            <w:tcBorders>
              <w:top w:val="nil"/>
              <w:left w:val="nil"/>
              <w:bottom w:val="single" w:sz="4" w:space="0" w:color="auto"/>
              <w:right w:val="single" w:sz="4" w:space="0" w:color="auto"/>
            </w:tcBorders>
            <w:shd w:val="clear" w:color="auto" w:fill="auto"/>
            <w:vAlign w:val="center"/>
          </w:tcPr>
          <w:p w14:paraId="711D58C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2,63</w:t>
            </w:r>
          </w:p>
        </w:tc>
        <w:tc>
          <w:tcPr>
            <w:tcW w:w="1403" w:type="dxa"/>
            <w:tcBorders>
              <w:top w:val="nil"/>
              <w:left w:val="nil"/>
              <w:bottom w:val="single" w:sz="4" w:space="0" w:color="auto"/>
              <w:right w:val="single" w:sz="4" w:space="0" w:color="auto"/>
            </w:tcBorders>
            <w:shd w:val="clear" w:color="auto" w:fill="auto"/>
            <w:vAlign w:val="center"/>
          </w:tcPr>
          <w:p w14:paraId="0DE444A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2,9</w:t>
            </w:r>
          </w:p>
        </w:tc>
        <w:tc>
          <w:tcPr>
            <w:tcW w:w="1099" w:type="dxa"/>
            <w:tcBorders>
              <w:top w:val="nil"/>
              <w:left w:val="nil"/>
              <w:bottom w:val="single" w:sz="4" w:space="0" w:color="auto"/>
              <w:right w:val="single" w:sz="4" w:space="0" w:color="auto"/>
            </w:tcBorders>
            <w:shd w:val="clear" w:color="000000" w:fill="92D050"/>
            <w:vAlign w:val="center"/>
          </w:tcPr>
          <w:p w14:paraId="0929A91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1E48673E"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77C2D44D" w14:textId="77777777" w:rsidTr="00E06E22">
        <w:trPr>
          <w:trHeight w:val="600"/>
          <w:jc w:val="center"/>
        </w:trPr>
        <w:tc>
          <w:tcPr>
            <w:tcW w:w="4397" w:type="dxa"/>
            <w:tcBorders>
              <w:top w:val="nil"/>
              <w:left w:val="single" w:sz="4" w:space="0" w:color="auto"/>
              <w:bottom w:val="single" w:sz="4" w:space="0" w:color="auto"/>
              <w:right w:val="single" w:sz="4" w:space="0" w:color="auto"/>
            </w:tcBorders>
            <w:shd w:val="clear" w:color="auto" w:fill="auto"/>
            <w:vAlign w:val="center"/>
          </w:tcPr>
          <w:p w14:paraId="4C8D550C"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Indice di Performance di Degenza Media (IPDM) per ricoveri acuti chirurgici</w:t>
            </w:r>
          </w:p>
        </w:tc>
        <w:tc>
          <w:tcPr>
            <w:tcW w:w="959" w:type="dxa"/>
            <w:tcBorders>
              <w:top w:val="nil"/>
              <w:left w:val="nil"/>
              <w:bottom w:val="single" w:sz="4" w:space="0" w:color="auto"/>
              <w:right w:val="single" w:sz="4" w:space="0" w:color="auto"/>
            </w:tcBorders>
            <w:shd w:val="clear" w:color="auto" w:fill="auto"/>
            <w:vAlign w:val="center"/>
          </w:tcPr>
          <w:p w14:paraId="6504897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-0,4</w:t>
            </w:r>
          </w:p>
        </w:tc>
        <w:tc>
          <w:tcPr>
            <w:tcW w:w="1302" w:type="dxa"/>
            <w:tcBorders>
              <w:top w:val="nil"/>
              <w:left w:val="nil"/>
              <w:bottom w:val="single" w:sz="4" w:space="0" w:color="auto"/>
              <w:right w:val="single" w:sz="4" w:space="0" w:color="auto"/>
            </w:tcBorders>
            <w:shd w:val="clear" w:color="auto" w:fill="auto"/>
            <w:vAlign w:val="center"/>
          </w:tcPr>
          <w:p w14:paraId="7A19BD5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0,24</w:t>
            </w:r>
          </w:p>
        </w:tc>
        <w:tc>
          <w:tcPr>
            <w:tcW w:w="1403" w:type="dxa"/>
            <w:tcBorders>
              <w:top w:val="nil"/>
              <w:left w:val="nil"/>
              <w:bottom w:val="single" w:sz="4" w:space="0" w:color="auto"/>
              <w:right w:val="single" w:sz="4" w:space="0" w:color="auto"/>
            </w:tcBorders>
            <w:shd w:val="clear" w:color="auto" w:fill="auto"/>
            <w:vAlign w:val="center"/>
          </w:tcPr>
          <w:p w14:paraId="4880C3A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0,33</w:t>
            </w:r>
          </w:p>
        </w:tc>
        <w:tc>
          <w:tcPr>
            <w:tcW w:w="1099" w:type="dxa"/>
            <w:tcBorders>
              <w:top w:val="nil"/>
              <w:left w:val="nil"/>
              <w:bottom w:val="single" w:sz="4" w:space="0" w:color="auto"/>
              <w:right w:val="single" w:sz="4" w:space="0" w:color="auto"/>
            </w:tcBorders>
            <w:shd w:val="clear" w:color="000000" w:fill="FFFF00"/>
            <w:vAlign w:val="center"/>
          </w:tcPr>
          <w:p w14:paraId="0EDE1DC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7A285146"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799122AB" w14:textId="77777777" w:rsidTr="00E06E22">
        <w:trPr>
          <w:trHeight w:val="600"/>
          <w:jc w:val="center"/>
        </w:trPr>
        <w:tc>
          <w:tcPr>
            <w:tcW w:w="4397" w:type="dxa"/>
            <w:tcBorders>
              <w:top w:val="nil"/>
              <w:left w:val="single" w:sz="4" w:space="0" w:color="auto"/>
              <w:bottom w:val="single" w:sz="4" w:space="0" w:color="auto"/>
              <w:right w:val="single" w:sz="4" w:space="0" w:color="auto"/>
            </w:tcBorders>
            <w:shd w:val="clear" w:color="auto" w:fill="auto"/>
            <w:vAlign w:val="center"/>
          </w:tcPr>
          <w:p w14:paraId="08578124"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Indice di Performance di Degenza Media (IPDM) per ricoveri acuti medici</w:t>
            </w:r>
          </w:p>
        </w:tc>
        <w:tc>
          <w:tcPr>
            <w:tcW w:w="959" w:type="dxa"/>
            <w:tcBorders>
              <w:top w:val="nil"/>
              <w:left w:val="nil"/>
              <w:bottom w:val="single" w:sz="4" w:space="0" w:color="auto"/>
              <w:right w:val="single" w:sz="4" w:space="0" w:color="auto"/>
            </w:tcBorders>
            <w:shd w:val="clear" w:color="auto" w:fill="auto"/>
            <w:vAlign w:val="center"/>
          </w:tcPr>
          <w:p w14:paraId="2001FC9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-0,63</w:t>
            </w:r>
          </w:p>
        </w:tc>
        <w:tc>
          <w:tcPr>
            <w:tcW w:w="1302" w:type="dxa"/>
            <w:tcBorders>
              <w:top w:val="nil"/>
              <w:left w:val="nil"/>
              <w:bottom w:val="single" w:sz="4" w:space="0" w:color="auto"/>
              <w:right w:val="single" w:sz="4" w:space="0" w:color="auto"/>
            </w:tcBorders>
            <w:shd w:val="clear" w:color="auto" w:fill="auto"/>
            <w:vAlign w:val="center"/>
          </w:tcPr>
          <w:p w14:paraId="07444E1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-0,88</w:t>
            </w:r>
          </w:p>
        </w:tc>
        <w:tc>
          <w:tcPr>
            <w:tcW w:w="1403" w:type="dxa"/>
            <w:tcBorders>
              <w:top w:val="nil"/>
              <w:left w:val="nil"/>
              <w:bottom w:val="single" w:sz="4" w:space="0" w:color="auto"/>
              <w:right w:val="single" w:sz="4" w:space="0" w:color="auto"/>
            </w:tcBorders>
            <w:shd w:val="clear" w:color="auto" w:fill="auto"/>
            <w:vAlign w:val="center"/>
          </w:tcPr>
          <w:p w14:paraId="6275111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-0,64</w:t>
            </w:r>
          </w:p>
        </w:tc>
        <w:tc>
          <w:tcPr>
            <w:tcW w:w="1099" w:type="dxa"/>
            <w:tcBorders>
              <w:top w:val="nil"/>
              <w:left w:val="nil"/>
              <w:bottom w:val="single" w:sz="4" w:space="0" w:color="auto"/>
              <w:right w:val="single" w:sz="4" w:space="0" w:color="auto"/>
            </w:tcBorders>
            <w:shd w:val="clear" w:color="000000" w:fill="92D050"/>
            <w:vAlign w:val="center"/>
          </w:tcPr>
          <w:p w14:paraId="401D6A6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4388FE50"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69601B57" w14:textId="77777777" w:rsidTr="00E06E22">
        <w:trPr>
          <w:trHeight w:val="465"/>
          <w:jc w:val="center"/>
        </w:trPr>
        <w:tc>
          <w:tcPr>
            <w:tcW w:w="4397" w:type="dxa"/>
            <w:tcBorders>
              <w:top w:val="nil"/>
              <w:left w:val="single" w:sz="4" w:space="0" w:color="auto"/>
              <w:bottom w:val="single" w:sz="4" w:space="0" w:color="auto"/>
              <w:right w:val="single" w:sz="4" w:space="0" w:color="auto"/>
            </w:tcBorders>
            <w:shd w:val="clear" w:color="auto" w:fill="auto"/>
            <w:vAlign w:val="center"/>
          </w:tcPr>
          <w:p w14:paraId="4FEBF1A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Degenza media pre-operatoria</w:t>
            </w:r>
          </w:p>
        </w:tc>
        <w:tc>
          <w:tcPr>
            <w:tcW w:w="959" w:type="dxa"/>
            <w:tcBorders>
              <w:top w:val="nil"/>
              <w:left w:val="nil"/>
              <w:bottom w:val="single" w:sz="4" w:space="0" w:color="auto"/>
              <w:right w:val="single" w:sz="4" w:space="0" w:color="auto"/>
            </w:tcBorders>
            <w:shd w:val="clear" w:color="auto" w:fill="auto"/>
            <w:vAlign w:val="center"/>
          </w:tcPr>
          <w:p w14:paraId="29A1A2E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0,76</w:t>
            </w:r>
          </w:p>
        </w:tc>
        <w:tc>
          <w:tcPr>
            <w:tcW w:w="1302" w:type="dxa"/>
            <w:tcBorders>
              <w:top w:val="nil"/>
              <w:left w:val="nil"/>
              <w:bottom w:val="single" w:sz="4" w:space="0" w:color="auto"/>
              <w:right w:val="single" w:sz="4" w:space="0" w:color="auto"/>
            </w:tcBorders>
            <w:shd w:val="clear" w:color="auto" w:fill="auto"/>
            <w:vAlign w:val="center"/>
          </w:tcPr>
          <w:p w14:paraId="38F3439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0,94</w:t>
            </w:r>
          </w:p>
        </w:tc>
        <w:tc>
          <w:tcPr>
            <w:tcW w:w="1403" w:type="dxa"/>
            <w:tcBorders>
              <w:top w:val="nil"/>
              <w:left w:val="nil"/>
              <w:bottom w:val="single" w:sz="4" w:space="0" w:color="auto"/>
              <w:right w:val="single" w:sz="4" w:space="0" w:color="auto"/>
            </w:tcBorders>
            <w:shd w:val="clear" w:color="auto" w:fill="auto"/>
            <w:vAlign w:val="center"/>
          </w:tcPr>
          <w:p w14:paraId="6775099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0,94</w:t>
            </w:r>
          </w:p>
        </w:tc>
        <w:tc>
          <w:tcPr>
            <w:tcW w:w="1099" w:type="dxa"/>
            <w:tcBorders>
              <w:top w:val="nil"/>
              <w:left w:val="nil"/>
              <w:bottom w:val="single" w:sz="4" w:space="0" w:color="auto"/>
              <w:right w:val="single" w:sz="4" w:space="0" w:color="auto"/>
            </w:tcBorders>
            <w:shd w:val="clear" w:color="000000" w:fill="92D050"/>
            <w:vAlign w:val="center"/>
          </w:tcPr>
          <w:p w14:paraId="0FFDCAD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165C2E12"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29ED814D" w14:textId="77777777" w:rsidTr="00E06E22">
        <w:trPr>
          <w:trHeight w:val="300"/>
          <w:jc w:val="center"/>
        </w:trPr>
        <w:tc>
          <w:tcPr>
            <w:tcW w:w="4397" w:type="dxa"/>
            <w:tcBorders>
              <w:top w:val="nil"/>
              <w:left w:val="single" w:sz="4" w:space="0" w:color="auto"/>
              <w:bottom w:val="single" w:sz="4" w:space="0" w:color="auto"/>
              <w:right w:val="single" w:sz="4" w:space="0" w:color="auto"/>
            </w:tcBorders>
            <w:shd w:val="clear" w:color="auto" w:fill="auto"/>
            <w:vAlign w:val="center"/>
          </w:tcPr>
          <w:p w14:paraId="2705B84A"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Volume di accessi in PS</w:t>
            </w:r>
          </w:p>
        </w:tc>
        <w:tc>
          <w:tcPr>
            <w:tcW w:w="959" w:type="dxa"/>
            <w:tcBorders>
              <w:top w:val="nil"/>
              <w:left w:val="nil"/>
              <w:bottom w:val="single" w:sz="4" w:space="0" w:color="auto"/>
              <w:right w:val="single" w:sz="4" w:space="0" w:color="auto"/>
            </w:tcBorders>
            <w:shd w:val="clear" w:color="auto" w:fill="auto"/>
            <w:vAlign w:val="center"/>
          </w:tcPr>
          <w:p w14:paraId="217BC70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1875560</w:t>
            </w:r>
          </w:p>
        </w:tc>
        <w:tc>
          <w:tcPr>
            <w:tcW w:w="1302" w:type="dxa"/>
            <w:tcBorders>
              <w:top w:val="nil"/>
              <w:left w:val="nil"/>
              <w:bottom w:val="single" w:sz="4" w:space="0" w:color="auto"/>
              <w:right w:val="single" w:sz="4" w:space="0" w:color="auto"/>
            </w:tcBorders>
            <w:shd w:val="clear" w:color="auto" w:fill="auto"/>
            <w:vAlign w:val="center"/>
          </w:tcPr>
          <w:p w14:paraId="248E15D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203168</w:t>
            </w:r>
          </w:p>
        </w:tc>
        <w:tc>
          <w:tcPr>
            <w:tcW w:w="1403" w:type="dxa"/>
            <w:tcBorders>
              <w:top w:val="nil"/>
              <w:left w:val="nil"/>
              <w:bottom w:val="single" w:sz="4" w:space="0" w:color="auto"/>
              <w:right w:val="single" w:sz="4" w:space="0" w:color="auto"/>
            </w:tcBorders>
            <w:shd w:val="clear" w:color="auto" w:fill="auto"/>
            <w:vAlign w:val="center"/>
          </w:tcPr>
          <w:p w14:paraId="79E937A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207796</w:t>
            </w:r>
          </w:p>
        </w:tc>
        <w:tc>
          <w:tcPr>
            <w:tcW w:w="1099" w:type="dxa"/>
            <w:tcBorders>
              <w:top w:val="nil"/>
              <w:left w:val="nil"/>
              <w:bottom w:val="single" w:sz="4" w:space="0" w:color="auto"/>
              <w:right w:val="single" w:sz="4" w:space="0" w:color="auto"/>
            </w:tcBorders>
            <w:shd w:val="clear" w:color="000000" w:fill="0070C0"/>
            <w:vAlign w:val="center"/>
          </w:tcPr>
          <w:p w14:paraId="03087A8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77524351"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5A2D397E" w14:textId="77777777" w:rsidTr="00E06E22">
        <w:trPr>
          <w:trHeight w:val="600"/>
          <w:jc w:val="center"/>
        </w:trPr>
        <w:tc>
          <w:tcPr>
            <w:tcW w:w="4397" w:type="dxa"/>
            <w:tcBorders>
              <w:top w:val="nil"/>
              <w:left w:val="single" w:sz="4" w:space="0" w:color="auto"/>
              <w:bottom w:val="single" w:sz="4" w:space="0" w:color="auto"/>
              <w:right w:val="single" w:sz="4" w:space="0" w:color="auto"/>
            </w:tcBorders>
            <w:shd w:val="clear" w:color="auto" w:fill="auto"/>
            <w:vAlign w:val="center"/>
          </w:tcPr>
          <w:p w14:paraId="17862FBB"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lastRenderedPageBreak/>
              <w:t>Volume di ricoveri in regime ordinario per DRG medici</w:t>
            </w:r>
          </w:p>
        </w:tc>
        <w:tc>
          <w:tcPr>
            <w:tcW w:w="959" w:type="dxa"/>
            <w:tcBorders>
              <w:top w:val="nil"/>
              <w:left w:val="nil"/>
              <w:bottom w:val="single" w:sz="4" w:space="0" w:color="auto"/>
              <w:right w:val="single" w:sz="4" w:space="0" w:color="auto"/>
            </w:tcBorders>
            <w:shd w:val="clear" w:color="auto" w:fill="auto"/>
            <w:vAlign w:val="center"/>
          </w:tcPr>
          <w:p w14:paraId="11E1DAB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334895</w:t>
            </w:r>
          </w:p>
        </w:tc>
        <w:tc>
          <w:tcPr>
            <w:tcW w:w="1302" w:type="dxa"/>
            <w:tcBorders>
              <w:top w:val="nil"/>
              <w:left w:val="nil"/>
              <w:bottom w:val="single" w:sz="4" w:space="0" w:color="auto"/>
              <w:right w:val="single" w:sz="4" w:space="0" w:color="auto"/>
            </w:tcBorders>
            <w:shd w:val="clear" w:color="auto" w:fill="auto"/>
            <w:vAlign w:val="center"/>
          </w:tcPr>
          <w:p w14:paraId="2090B11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34987</w:t>
            </w:r>
          </w:p>
        </w:tc>
        <w:tc>
          <w:tcPr>
            <w:tcW w:w="1403" w:type="dxa"/>
            <w:tcBorders>
              <w:top w:val="nil"/>
              <w:left w:val="nil"/>
              <w:bottom w:val="single" w:sz="4" w:space="0" w:color="auto"/>
              <w:right w:val="single" w:sz="4" w:space="0" w:color="auto"/>
            </w:tcBorders>
            <w:shd w:val="clear" w:color="auto" w:fill="auto"/>
            <w:vAlign w:val="center"/>
          </w:tcPr>
          <w:p w14:paraId="69E7916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34714</w:t>
            </w:r>
          </w:p>
        </w:tc>
        <w:tc>
          <w:tcPr>
            <w:tcW w:w="1099" w:type="dxa"/>
            <w:tcBorders>
              <w:top w:val="nil"/>
              <w:left w:val="nil"/>
              <w:bottom w:val="single" w:sz="4" w:space="0" w:color="auto"/>
              <w:right w:val="single" w:sz="4" w:space="0" w:color="auto"/>
            </w:tcBorders>
            <w:shd w:val="clear" w:color="000000" w:fill="0070C0"/>
            <w:vAlign w:val="center"/>
          </w:tcPr>
          <w:p w14:paraId="73C3186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1E8B1EE7"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48F4CD8A" w14:textId="77777777" w:rsidTr="00E06E22">
        <w:trPr>
          <w:trHeight w:val="600"/>
          <w:jc w:val="center"/>
        </w:trPr>
        <w:tc>
          <w:tcPr>
            <w:tcW w:w="4397" w:type="dxa"/>
            <w:tcBorders>
              <w:top w:val="nil"/>
              <w:left w:val="single" w:sz="4" w:space="0" w:color="auto"/>
              <w:bottom w:val="single" w:sz="4" w:space="0" w:color="auto"/>
              <w:right w:val="single" w:sz="4" w:space="0" w:color="auto"/>
            </w:tcBorders>
            <w:shd w:val="clear" w:color="auto" w:fill="auto"/>
            <w:vAlign w:val="center"/>
          </w:tcPr>
          <w:p w14:paraId="14036BBF"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Volume di ricoveri in regime ordinario per DRG chirurgici</w:t>
            </w:r>
          </w:p>
        </w:tc>
        <w:tc>
          <w:tcPr>
            <w:tcW w:w="959" w:type="dxa"/>
            <w:tcBorders>
              <w:top w:val="nil"/>
              <w:left w:val="nil"/>
              <w:bottom w:val="single" w:sz="4" w:space="0" w:color="auto"/>
              <w:right w:val="single" w:sz="4" w:space="0" w:color="auto"/>
            </w:tcBorders>
            <w:shd w:val="clear" w:color="auto" w:fill="auto"/>
            <w:vAlign w:val="center"/>
          </w:tcPr>
          <w:p w14:paraId="6249311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260286</w:t>
            </w:r>
          </w:p>
        </w:tc>
        <w:tc>
          <w:tcPr>
            <w:tcW w:w="1302" w:type="dxa"/>
            <w:tcBorders>
              <w:top w:val="nil"/>
              <w:left w:val="nil"/>
              <w:bottom w:val="single" w:sz="4" w:space="0" w:color="auto"/>
              <w:right w:val="single" w:sz="4" w:space="0" w:color="auto"/>
            </w:tcBorders>
            <w:shd w:val="clear" w:color="auto" w:fill="auto"/>
            <w:vAlign w:val="center"/>
          </w:tcPr>
          <w:p w14:paraId="2CEDFE4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24335</w:t>
            </w:r>
          </w:p>
        </w:tc>
        <w:tc>
          <w:tcPr>
            <w:tcW w:w="1403" w:type="dxa"/>
            <w:tcBorders>
              <w:top w:val="nil"/>
              <w:left w:val="nil"/>
              <w:bottom w:val="single" w:sz="4" w:space="0" w:color="auto"/>
              <w:right w:val="single" w:sz="4" w:space="0" w:color="auto"/>
            </w:tcBorders>
            <w:shd w:val="clear" w:color="auto" w:fill="auto"/>
            <w:vAlign w:val="center"/>
          </w:tcPr>
          <w:p w14:paraId="413FB97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24306</w:t>
            </w:r>
          </w:p>
        </w:tc>
        <w:tc>
          <w:tcPr>
            <w:tcW w:w="1099" w:type="dxa"/>
            <w:tcBorders>
              <w:top w:val="nil"/>
              <w:left w:val="nil"/>
              <w:bottom w:val="single" w:sz="4" w:space="0" w:color="auto"/>
              <w:right w:val="single" w:sz="4" w:space="0" w:color="auto"/>
            </w:tcBorders>
            <w:shd w:val="clear" w:color="000000" w:fill="0070C0"/>
            <w:vAlign w:val="center"/>
          </w:tcPr>
          <w:p w14:paraId="44BBBAE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70FD856E"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34E7E714" w14:textId="77777777" w:rsidTr="00E06E22">
        <w:trPr>
          <w:trHeight w:val="300"/>
          <w:jc w:val="center"/>
        </w:trPr>
        <w:tc>
          <w:tcPr>
            <w:tcW w:w="4397" w:type="dxa"/>
            <w:tcBorders>
              <w:top w:val="nil"/>
              <w:left w:val="single" w:sz="4" w:space="0" w:color="auto"/>
              <w:bottom w:val="single" w:sz="4" w:space="0" w:color="auto"/>
              <w:right w:val="single" w:sz="4" w:space="0" w:color="auto"/>
            </w:tcBorders>
            <w:shd w:val="clear" w:color="auto" w:fill="auto"/>
            <w:vAlign w:val="center"/>
          </w:tcPr>
          <w:p w14:paraId="727DF548"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Volume di ricoveri in DH per DRG medici</w:t>
            </w:r>
          </w:p>
        </w:tc>
        <w:tc>
          <w:tcPr>
            <w:tcW w:w="959" w:type="dxa"/>
            <w:tcBorders>
              <w:top w:val="nil"/>
              <w:left w:val="nil"/>
              <w:bottom w:val="single" w:sz="4" w:space="0" w:color="auto"/>
              <w:right w:val="single" w:sz="4" w:space="0" w:color="auto"/>
            </w:tcBorders>
            <w:shd w:val="clear" w:color="auto" w:fill="auto"/>
            <w:vAlign w:val="center"/>
          </w:tcPr>
          <w:p w14:paraId="6537B64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68343</w:t>
            </w:r>
          </w:p>
        </w:tc>
        <w:tc>
          <w:tcPr>
            <w:tcW w:w="1302" w:type="dxa"/>
            <w:tcBorders>
              <w:top w:val="nil"/>
              <w:left w:val="nil"/>
              <w:bottom w:val="single" w:sz="4" w:space="0" w:color="auto"/>
              <w:right w:val="single" w:sz="4" w:space="0" w:color="auto"/>
            </w:tcBorders>
            <w:shd w:val="clear" w:color="auto" w:fill="auto"/>
            <w:vAlign w:val="center"/>
          </w:tcPr>
          <w:p w14:paraId="25599E9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6256</w:t>
            </w:r>
          </w:p>
        </w:tc>
        <w:tc>
          <w:tcPr>
            <w:tcW w:w="1403" w:type="dxa"/>
            <w:tcBorders>
              <w:top w:val="nil"/>
              <w:left w:val="nil"/>
              <w:bottom w:val="single" w:sz="4" w:space="0" w:color="auto"/>
              <w:right w:val="single" w:sz="4" w:space="0" w:color="auto"/>
            </w:tcBorders>
            <w:shd w:val="clear" w:color="auto" w:fill="auto"/>
            <w:vAlign w:val="center"/>
          </w:tcPr>
          <w:p w14:paraId="7A25A89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5954</w:t>
            </w:r>
          </w:p>
        </w:tc>
        <w:tc>
          <w:tcPr>
            <w:tcW w:w="1099" w:type="dxa"/>
            <w:tcBorders>
              <w:top w:val="nil"/>
              <w:left w:val="nil"/>
              <w:bottom w:val="single" w:sz="4" w:space="0" w:color="auto"/>
              <w:right w:val="single" w:sz="4" w:space="0" w:color="auto"/>
            </w:tcBorders>
            <w:shd w:val="clear" w:color="000000" w:fill="0070C0"/>
            <w:vAlign w:val="center"/>
          </w:tcPr>
          <w:p w14:paraId="11C0DF3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2F3F929A"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7946E60A" w14:textId="77777777" w:rsidTr="00E06E22">
        <w:trPr>
          <w:trHeight w:val="300"/>
          <w:jc w:val="center"/>
        </w:trPr>
        <w:tc>
          <w:tcPr>
            <w:tcW w:w="4397" w:type="dxa"/>
            <w:tcBorders>
              <w:top w:val="nil"/>
              <w:left w:val="single" w:sz="4" w:space="0" w:color="auto"/>
              <w:bottom w:val="single" w:sz="4" w:space="0" w:color="auto"/>
              <w:right w:val="single" w:sz="4" w:space="0" w:color="auto"/>
            </w:tcBorders>
            <w:shd w:val="clear" w:color="auto" w:fill="auto"/>
            <w:vAlign w:val="center"/>
          </w:tcPr>
          <w:p w14:paraId="3F98A888"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Volume di ricoveri in DH per DRG chirurgici</w:t>
            </w:r>
          </w:p>
        </w:tc>
        <w:tc>
          <w:tcPr>
            <w:tcW w:w="959" w:type="dxa"/>
            <w:tcBorders>
              <w:top w:val="nil"/>
              <w:left w:val="nil"/>
              <w:bottom w:val="single" w:sz="4" w:space="0" w:color="auto"/>
              <w:right w:val="single" w:sz="4" w:space="0" w:color="auto"/>
            </w:tcBorders>
            <w:shd w:val="clear" w:color="auto" w:fill="auto"/>
            <w:vAlign w:val="center"/>
          </w:tcPr>
          <w:p w14:paraId="5E86411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86987</w:t>
            </w:r>
          </w:p>
        </w:tc>
        <w:tc>
          <w:tcPr>
            <w:tcW w:w="1302" w:type="dxa"/>
            <w:tcBorders>
              <w:top w:val="nil"/>
              <w:left w:val="nil"/>
              <w:bottom w:val="single" w:sz="4" w:space="0" w:color="auto"/>
              <w:right w:val="single" w:sz="4" w:space="0" w:color="auto"/>
            </w:tcBorders>
            <w:shd w:val="clear" w:color="auto" w:fill="auto"/>
            <w:vAlign w:val="center"/>
          </w:tcPr>
          <w:p w14:paraId="5F7B3D4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8865</w:t>
            </w:r>
          </w:p>
        </w:tc>
        <w:tc>
          <w:tcPr>
            <w:tcW w:w="1403" w:type="dxa"/>
            <w:tcBorders>
              <w:top w:val="nil"/>
              <w:left w:val="nil"/>
              <w:bottom w:val="single" w:sz="4" w:space="0" w:color="auto"/>
              <w:right w:val="single" w:sz="4" w:space="0" w:color="auto"/>
            </w:tcBorders>
            <w:shd w:val="clear" w:color="auto" w:fill="auto"/>
            <w:vAlign w:val="center"/>
          </w:tcPr>
          <w:p w14:paraId="15EBDD8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9057</w:t>
            </w:r>
          </w:p>
        </w:tc>
        <w:tc>
          <w:tcPr>
            <w:tcW w:w="1099" w:type="dxa"/>
            <w:tcBorders>
              <w:top w:val="nil"/>
              <w:left w:val="nil"/>
              <w:bottom w:val="single" w:sz="4" w:space="0" w:color="auto"/>
              <w:right w:val="single" w:sz="4" w:space="0" w:color="auto"/>
            </w:tcBorders>
            <w:shd w:val="clear" w:color="000000" w:fill="0070C0"/>
            <w:vAlign w:val="center"/>
          </w:tcPr>
          <w:p w14:paraId="149DADF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0027286F"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bl>
    <w:p w14:paraId="2FF404EC" w14:textId="77777777" w:rsidR="00E27519" w:rsidRDefault="0003178C">
      <w:pPr>
        <w:ind w:right="284"/>
        <w:jc w:val="both"/>
        <w:rPr>
          <w:rFonts w:asciiTheme="minorHAnsi" w:eastAsia="Calibri" w:hAnsiTheme="minorHAnsi"/>
          <w:sz w:val="16"/>
          <w:lang w:eastAsia="en-US"/>
        </w:rPr>
      </w:pPr>
      <w:r>
        <w:rPr>
          <w:rFonts w:eastAsia="Calibri"/>
          <w:sz w:val="16"/>
          <w:lang w:eastAsia="en-US"/>
        </w:rPr>
        <w:t xml:space="preserve">Fonte: Regione Emilia Romagna, SIVER, 2016. </w:t>
      </w:r>
      <w:hyperlink r:id="rId30" w:history="1">
        <w:r>
          <w:rPr>
            <w:rStyle w:val="Collegamentoipertestuale"/>
            <w:rFonts w:eastAsia="Calibri"/>
            <w:sz w:val="16"/>
            <w:lang w:eastAsia="en-US"/>
          </w:rPr>
          <w:t>http://salute.regione.emilia-romagna.it/siseps/siver</w:t>
        </w:r>
      </w:hyperlink>
      <w:r>
        <w:rPr>
          <w:rFonts w:eastAsia="Calibri"/>
          <w:sz w:val="16"/>
          <w:lang w:eastAsia="en-US"/>
        </w:rPr>
        <w:t xml:space="preserve">. </w:t>
      </w:r>
    </w:p>
    <w:p w14:paraId="3F6D9A31" w14:textId="77777777" w:rsidR="00E27519" w:rsidRDefault="00E27519">
      <w:pPr>
        <w:spacing w:after="120"/>
        <w:contextualSpacing/>
        <w:jc w:val="both"/>
        <w:rPr>
          <w:rFonts w:eastAsia="Calibri"/>
          <w:sz w:val="20"/>
          <w:highlight w:val="green"/>
          <w:lang w:eastAsia="en-US"/>
        </w:rPr>
      </w:pPr>
    </w:p>
    <w:p w14:paraId="6AC11613" w14:textId="77777777" w:rsidR="00E27519" w:rsidRDefault="0003178C">
      <w:pPr>
        <w:spacing w:after="120"/>
        <w:contextualSpacing/>
        <w:jc w:val="both"/>
        <w:rPr>
          <w:rFonts w:eastAsia="Calibri"/>
          <w:sz w:val="20"/>
          <w:lang w:eastAsia="en-US"/>
        </w:rPr>
      </w:pPr>
      <w:r>
        <w:rPr>
          <w:rFonts w:eastAsia="Calibri"/>
          <w:sz w:val="20"/>
          <w:lang w:eastAsia="en-US"/>
        </w:rPr>
        <w:t>La dimensione Produzione-Ospedale del sistema di valutazione SIVER, mostra un andamento dell’Azienda USL di Modena buono in quasi tutti gli indicatori, con invece un valore di livello medio (giallo) relativamente a:</w:t>
      </w:r>
    </w:p>
    <w:p w14:paraId="0C78D3A9" w14:textId="77777777" w:rsidR="00E27519" w:rsidRDefault="0003178C">
      <w:pPr>
        <w:pStyle w:val="Paragrafoelenco2"/>
        <w:numPr>
          <w:ilvl w:val="0"/>
          <w:numId w:val="31"/>
        </w:numPr>
        <w:spacing w:after="120"/>
        <w:jc w:val="both"/>
        <w:rPr>
          <w:rFonts w:asciiTheme="minorHAnsi" w:eastAsia="Calibri" w:hAnsiTheme="minorHAnsi"/>
          <w:lang w:eastAsia="en-US"/>
        </w:rPr>
      </w:pPr>
      <w:r>
        <w:rPr>
          <w:rFonts w:asciiTheme="minorHAnsi" w:eastAsia="Calibri" w:hAnsiTheme="minorHAnsi"/>
          <w:lang w:eastAsia="en-US"/>
        </w:rPr>
        <w:t>Indice di Performance di Degenza Media (IPDM) per ricoveri acuti chirurgici (MO 0,33 – RER -0,4): il dato aziendale mostra una degenza media per ricoveri acuti chirurgici superiore rispetto alla degenza media delle altre aziende sanitarie della regione. L’indicatore suggerisce una riduzione della degenza nei suddetti reparti e un miglioramento delle performance.</w:t>
      </w:r>
    </w:p>
    <w:p w14:paraId="125CBE6F" w14:textId="77777777" w:rsidR="00E27519" w:rsidRDefault="00E27519">
      <w:pPr>
        <w:spacing w:after="120"/>
        <w:contextualSpacing/>
        <w:jc w:val="both"/>
        <w:rPr>
          <w:rFonts w:eastAsia="Calibri"/>
          <w:sz w:val="20"/>
          <w:lang w:eastAsia="en-US"/>
        </w:rPr>
      </w:pPr>
    </w:p>
    <w:p w14:paraId="0B02591B" w14:textId="77777777" w:rsidR="00E27519" w:rsidRDefault="0003178C">
      <w:pPr>
        <w:spacing w:after="120"/>
        <w:contextualSpacing/>
        <w:jc w:val="both"/>
        <w:rPr>
          <w:rFonts w:eastAsia="Calibri"/>
          <w:sz w:val="20"/>
          <w:lang w:eastAsia="en-US"/>
        </w:rPr>
      </w:pPr>
      <w:r>
        <w:rPr>
          <w:rFonts w:eastAsia="Calibri"/>
          <w:sz w:val="20"/>
          <w:lang w:eastAsia="en-US"/>
        </w:rPr>
        <w:t>La dimensione Produzione-Territorio mostra un andamento dell’Azienda USL di Modena positivo per i 2 indicatori considerati.</w:t>
      </w:r>
    </w:p>
    <w:p w14:paraId="74211DCC" w14:textId="77777777" w:rsidR="00E27519" w:rsidRDefault="00E27519">
      <w:pPr>
        <w:spacing w:after="120"/>
        <w:contextualSpacing/>
        <w:jc w:val="both"/>
        <w:rPr>
          <w:rFonts w:eastAsia="Calibri"/>
          <w:sz w:val="20"/>
          <w:lang w:eastAsia="en-US"/>
        </w:rPr>
      </w:pPr>
    </w:p>
    <w:p w14:paraId="358115C5" w14:textId="77777777" w:rsidR="00E27519" w:rsidRDefault="0003178C">
      <w:pPr>
        <w:spacing w:after="120"/>
        <w:contextualSpacing/>
        <w:jc w:val="both"/>
        <w:rPr>
          <w:rFonts w:eastAsia="Calibri"/>
          <w:sz w:val="20"/>
          <w:lang w:eastAsia="en-US"/>
        </w:rPr>
      </w:pPr>
      <w:r>
        <w:rPr>
          <w:rFonts w:eastAsia="Calibri"/>
          <w:sz w:val="20"/>
          <w:lang w:eastAsia="en-US"/>
        </w:rPr>
        <w:t>Produzione-Territorio</w:t>
      </w:r>
    </w:p>
    <w:tbl>
      <w:tblPr>
        <w:tblW w:w="10620" w:type="dxa"/>
        <w:jc w:val="center"/>
        <w:tblLayout w:type="fixed"/>
        <w:tblCellMar>
          <w:left w:w="70" w:type="dxa"/>
          <w:right w:w="70" w:type="dxa"/>
        </w:tblCellMar>
        <w:tblLook w:val="04A0" w:firstRow="1" w:lastRow="0" w:firstColumn="1" w:lastColumn="0" w:noHBand="0" w:noVBand="1"/>
      </w:tblPr>
      <w:tblGrid>
        <w:gridCol w:w="5033"/>
        <w:gridCol w:w="1060"/>
        <w:gridCol w:w="1132"/>
        <w:gridCol w:w="1656"/>
        <w:gridCol w:w="1099"/>
        <w:gridCol w:w="640"/>
      </w:tblGrid>
      <w:tr w:rsidR="00E27519" w14:paraId="0602B1A3" w14:textId="77777777" w:rsidTr="00E06E22">
        <w:trPr>
          <w:trHeight w:val="600"/>
          <w:jc w:val="center"/>
        </w:trPr>
        <w:tc>
          <w:tcPr>
            <w:tcW w:w="5033" w:type="dxa"/>
            <w:tcBorders>
              <w:top w:val="single" w:sz="4" w:space="0" w:color="auto"/>
              <w:left w:val="single" w:sz="4" w:space="0" w:color="auto"/>
              <w:bottom w:val="single" w:sz="4" w:space="0" w:color="auto"/>
              <w:right w:val="single" w:sz="4" w:space="0" w:color="auto"/>
            </w:tcBorders>
            <w:shd w:val="clear" w:color="auto" w:fill="auto"/>
            <w:vAlign w:val="center"/>
          </w:tcPr>
          <w:p w14:paraId="342CE761"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Indicatore</w:t>
            </w:r>
          </w:p>
        </w:tc>
        <w:tc>
          <w:tcPr>
            <w:tcW w:w="1060" w:type="dxa"/>
            <w:tcBorders>
              <w:top w:val="single" w:sz="2" w:space="0" w:color="auto"/>
              <w:left w:val="nil"/>
              <w:bottom w:val="single" w:sz="2" w:space="0" w:color="auto"/>
              <w:right w:val="single" w:sz="2" w:space="0" w:color="auto"/>
            </w:tcBorders>
            <w:shd w:val="clear" w:color="auto" w:fill="auto"/>
            <w:vAlign w:val="center"/>
          </w:tcPr>
          <w:p w14:paraId="39B552A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7C307F0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132" w:type="dxa"/>
            <w:tcBorders>
              <w:top w:val="single" w:sz="4" w:space="0" w:color="auto"/>
              <w:left w:val="nil"/>
              <w:bottom w:val="single" w:sz="4" w:space="0" w:color="auto"/>
              <w:right w:val="single" w:sz="4" w:space="0" w:color="auto"/>
            </w:tcBorders>
            <w:shd w:val="clear" w:color="auto" w:fill="auto"/>
            <w:vAlign w:val="center"/>
          </w:tcPr>
          <w:p w14:paraId="6B86D9E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1656" w:type="dxa"/>
            <w:tcBorders>
              <w:top w:val="single" w:sz="4" w:space="0" w:color="auto"/>
              <w:left w:val="nil"/>
              <w:bottom w:val="single" w:sz="4" w:space="0" w:color="auto"/>
              <w:right w:val="single" w:sz="4" w:space="0" w:color="auto"/>
            </w:tcBorders>
            <w:shd w:val="clear" w:color="auto" w:fill="auto"/>
            <w:vAlign w:val="center"/>
          </w:tcPr>
          <w:p w14:paraId="2F627E8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709C2A5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99" w:type="dxa"/>
            <w:tcBorders>
              <w:top w:val="single" w:sz="4" w:space="0" w:color="auto"/>
              <w:left w:val="nil"/>
              <w:bottom w:val="single" w:sz="4" w:space="0" w:color="auto"/>
              <w:right w:val="single" w:sz="4" w:space="0" w:color="auto"/>
            </w:tcBorders>
            <w:shd w:val="clear" w:color="auto" w:fill="auto"/>
            <w:vAlign w:val="center"/>
          </w:tcPr>
          <w:p w14:paraId="3211927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672CBC1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640" w:type="dxa"/>
            <w:tcBorders>
              <w:top w:val="single" w:sz="4" w:space="0" w:color="auto"/>
              <w:left w:val="nil"/>
              <w:bottom w:val="single" w:sz="4" w:space="0" w:color="auto"/>
              <w:right w:val="single" w:sz="4" w:space="0" w:color="auto"/>
            </w:tcBorders>
            <w:shd w:val="clear" w:color="auto" w:fill="auto"/>
            <w:vAlign w:val="center"/>
          </w:tcPr>
          <w:p w14:paraId="3A37B40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7A75557A" w14:textId="77777777" w:rsidTr="00E06E22">
        <w:trPr>
          <w:trHeight w:val="600"/>
          <w:jc w:val="center"/>
        </w:trPr>
        <w:tc>
          <w:tcPr>
            <w:tcW w:w="5033" w:type="dxa"/>
            <w:tcBorders>
              <w:top w:val="nil"/>
              <w:left w:val="single" w:sz="4" w:space="0" w:color="auto"/>
              <w:bottom w:val="single" w:sz="4" w:space="0" w:color="auto"/>
              <w:right w:val="single" w:sz="4" w:space="0" w:color="auto"/>
            </w:tcBorders>
            <w:shd w:val="clear" w:color="auto" w:fill="auto"/>
            <w:vAlign w:val="center"/>
          </w:tcPr>
          <w:p w14:paraId="30657110" w14:textId="77777777" w:rsidR="00E27519" w:rsidRDefault="0003178C">
            <w:pPr>
              <w:suppressAutoHyphens w:val="0"/>
              <w:spacing w:before="0"/>
              <w:rPr>
                <w:rFonts w:cs="Times New Roman"/>
                <w:color w:val="000000"/>
                <w:sz w:val="20"/>
                <w:lang w:eastAsia="it-IT" w:bidi="ar-SA"/>
              </w:rPr>
            </w:pPr>
            <w:r>
              <w:rPr>
                <w:rFonts w:cs="Times New Roman"/>
                <w:color w:val="000000"/>
                <w:sz w:val="20"/>
                <w:lang w:eastAsia="it-IT" w:bidi="ar-SA"/>
              </w:rPr>
              <w:t>Numero assistiti presso i Dipartimenti di Salute Mentale (DSM) x 1.000 residenti - GRIGLIA LEA</w:t>
            </w:r>
          </w:p>
        </w:tc>
        <w:tc>
          <w:tcPr>
            <w:tcW w:w="1060" w:type="dxa"/>
            <w:tcBorders>
              <w:top w:val="nil"/>
              <w:left w:val="nil"/>
              <w:bottom w:val="single" w:sz="4" w:space="0" w:color="auto"/>
              <w:right w:val="single" w:sz="4" w:space="0" w:color="auto"/>
            </w:tcBorders>
            <w:shd w:val="clear" w:color="auto" w:fill="auto"/>
            <w:vAlign w:val="center"/>
          </w:tcPr>
          <w:p w14:paraId="3EAF4B27"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20,34</w:t>
            </w:r>
          </w:p>
        </w:tc>
        <w:tc>
          <w:tcPr>
            <w:tcW w:w="1132" w:type="dxa"/>
            <w:tcBorders>
              <w:top w:val="nil"/>
              <w:left w:val="nil"/>
              <w:bottom w:val="single" w:sz="4" w:space="0" w:color="auto"/>
              <w:right w:val="single" w:sz="4" w:space="0" w:color="auto"/>
            </w:tcBorders>
            <w:shd w:val="clear" w:color="auto" w:fill="auto"/>
            <w:vAlign w:val="center"/>
          </w:tcPr>
          <w:p w14:paraId="65E2F6ED"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19,18</w:t>
            </w:r>
          </w:p>
        </w:tc>
        <w:tc>
          <w:tcPr>
            <w:tcW w:w="1656" w:type="dxa"/>
            <w:tcBorders>
              <w:top w:val="nil"/>
              <w:left w:val="nil"/>
              <w:bottom w:val="single" w:sz="4" w:space="0" w:color="auto"/>
              <w:right w:val="single" w:sz="4" w:space="0" w:color="auto"/>
            </w:tcBorders>
            <w:shd w:val="clear" w:color="auto" w:fill="auto"/>
            <w:vAlign w:val="center"/>
          </w:tcPr>
          <w:p w14:paraId="4F27C12E"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19,56</w:t>
            </w:r>
          </w:p>
        </w:tc>
        <w:tc>
          <w:tcPr>
            <w:tcW w:w="1099" w:type="dxa"/>
            <w:tcBorders>
              <w:top w:val="nil"/>
              <w:left w:val="nil"/>
              <w:bottom w:val="single" w:sz="4" w:space="0" w:color="auto"/>
              <w:right w:val="single" w:sz="4" w:space="0" w:color="auto"/>
            </w:tcBorders>
            <w:shd w:val="clear" w:color="000000" w:fill="00B050"/>
            <w:vAlign w:val="center"/>
          </w:tcPr>
          <w:p w14:paraId="432AEEC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611840A8" w14:textId="77777777" w:rsidR="00E27519" w:rsidRDefault="0003178C">
            <w:pPr>
              <w:suppressAutoHyphens w:val="0"/>
              <w:spacing w:before="0"/>
              <w:jc w:val="center"/>
              <w:rPr>
                <w:rFonts w:cs="Times New Roman"/>
                <w:color w:val="00B050"/>
                <w:sz w:val="24"/>
                <w:lang w:eastAsia="it-IT" w:bidi="ar-SA"/>
              </w:rPr>
            </w:pPr>
            <w:r>
              <w:rPr>
                <w:rFonts w:cs="Times New Roman"/>
                <w:color w:val="00B050"/>
                <w:sz w:val="24"/>
                <w:lang w:eastAsia="it-IT" w:bidi="ar-SA"/>
              </w:rPr>
              <w:t>↑</w:t>
            </w:r>
          </w:p>
        </w:tc>
      </w:tr>
      <w:tr w:rsidR="00E27519" w14:paraId="26CBD7BB" w14:textId="77777777" w:rsidTr="00E06E22">
        <w:trPr>
          <w:trHeight w:val="600"/>
          <w:jc w:val="center"/>
        </w:trPr>
        <w:tc>
          <w:tcPr>
            <w:tcW w:w="5033" w:type="dxa"/>
            <w:tcBorders>
              <w:top w:val="nil"/>
              <w:left w:val="single" w:sz="4" w:space="0" w:color="auto"/>
              <w:bottom w:val="single" w:sz="4" w:space="0" w:color="auto"/>
              <w:right w:val="single" w:sz="4" w:space="0" w:color="auto"/>
            </w:tcBorders>
            <w:shd w:val="clear" w:color="auto" w:fill="auto"/>
            <w:vAlign w:val="center"/>
          </w:tcPr>
          <w:p w14:paraId="025D3178" w14:textId="77777777" w:rsidR="00E27519" w:rsidRDefault="0003178C">
            <w:pPr>
              <w:suppressAutoHyphens w:val="0"/>
              <w:spacing w:before="0"/>
              <w:rPr>
                <w:rFonts w:cs="Times New Roman"/>
                <w:color w:val="000000"/>
                <w:sz w:val="20"/>
                <w:lang w:eastAsia="it-IT" w:bidi="ar-SA"/>
              </w:rPr>
            </w:pPr>
            <w:r>
              <w:rPr>
                <w:rFonts w:cs="Times New Roman"/>
                <w:color w:val="000000"/>
                <w:sz w:val="20"/>
                <w:lang w:eastAsia="it-IT" w:bidi="ar-SA"/>
              </w:rPr>
              <w:t xml:space="preserve">Tasso </w:t>
            </w:r>
            <w:proofErr w:type="spellStart"/>
            <w:r>
              <w:rPr>
                <w:rFonts w:cs="Times New Roman"/>
                <w:color w:val="000000"/>
                <w:sz w:val="20"/>
                <w:lang w:eastAsia="it-IT" w:bidi="ar-SA"/>
              </w:rPr>
              <w:t>std</w:t>
            </w:r>
            <w:proofErr w:type="spellEnd"/>
            <w:r>
              <w:rPr>
                <w:rFonts w:cs="Times New Roman"/>
                <w:color w:val="000000"/>
                <w:sz w:val="20"/>
                <w:lang w:eastAsia="it-IT" w:bidi="ar-SA"/>
              </w:rPr>
              <w:t xml:space="preserve"> di prevalenza x 1000 residenti nei servizi Neuropsichiatria Infantile</w:t>
            </w:r>
          </w:p>
        </w:tc>
        <w:tc>
          <w:tcPr>
            <w:tcW w:w="1060" w:type="dxa"/>
            <w:tcBorders>
              <w:top w:val="nil"/>
              <w:left w:val="nil"/>
              <w:bottom w:val="single" w:sz="4" w:space="0" w:color="auto"/>
              <w:right w:val="single" w:sz="4" w:space="0" w:color="auto"/>
            </w:tcBorders>
            <w:shd w:val="clear" w:color="auto" w:fill="auto"/>
            <w:vAlign w:val="center"/>
          </w:tcPr>
          <w:p w14:paraId="4C3F7DB8"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73,03</w:t>
            </w:r>
          </w:p>
        </w:tc>
        <w:tc>
          <w:tcPr>
            <w:tcW w:w="1132" w:type="dxa"/>
            <w:tcBorders>
              <w:top w:val="nil"/>
              <w:left w:val="nil"/>
              <w:bottom w:val="single" w:sz="4" w:space="0" w:color="auto"/>
              <w:right w:val="single" w:sz="4" w:space="0" w:color="auto"/>
            </w:tcBorders>
            <w:shd w:val="clear" w:color="auto" w:fill="auto"/>
            <w:vAlign w:val="center"/>
          </w:tcPr>
          <w:p w14:paraId="3AC6CD5E"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77,39</w:t>
            </w:r>
          </w:p>
        </w:tc>
        <w:tc>
          <w:tcPr>
            <w:tcW w:w="1656" w:type="dxa"/>
            <w:tcBorders>
              <w:top w:val="nil"/>
              <w:left w:val="nil"/>
              <w:bottom w:val="single" w:sz="4" w:space="0" w:color="auto"/>
              <w:right w:val="single" w:sz="4" w:space="0" w:color="auto"/>
            </w:tcBorders>
            <w:shd w:val="clear" w:color="auto" w:fill="auto"/>
            <w:vAlign w:val="center"/>
          </w:tcPr>
          <w:p w14:paraId="77C1719A"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80,71</w:t>
            </w:r>
          </w:p>
        </w:tc>
        <w:tc>
          <w:tcPr>
            <w:tcW w:w="1099" w:type="dxa"/>
            <w:tcBorders>
              <w:top w:val="nil"/>
              <w:left w:val="nil"/>
              <w:bottom w:val="single" w:sz="4" w:space="0" w:color="auto"/>
              <w:right w:val="single" w:sz="4" w:space="0" w:color="auto"/>
            </w:tcBorders>
            <w:shd w:val="clear" w:color="000000" w:fill="00B050"/>
            <w:vAlign w:val="center"/>
          </w:tcPr>
          <w:p w14:paraId="533014B5"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76975604" w14:textId="77777777" w:rsidR="00E27519" w:rsidRDefault="0003178C">
            <w:pPr>
              <w:suppressAutoHyphens w:val="0"/>
              <w:spacing w:before="0"/>
              <w:jc w:val="center"/>
              <w:rPr>
                <w:rFonts w:cs="Times New Roman"/>
                <w:color w:val="00B050"/>
                <w:sz w:val="24"/>
                <w:lang w:eastAsia="it-IT" w:bidi="ar-SA"/>
              </w:rPr>
            </w:pPr>
            <w:r>
              <w:rPr>
                <w:rFonts w:cs="Times New Roman"/>
                <w:color w:val="00B050"/>
                <w:sz w:val="24"/>
                <w:lang w:eastAsia="it-IT" w:bidi="ar-SA"/>
              </w:rPr>
              <w:t>↑</w:t>
            </w:r>
          </w:p>
        </w:tc>
      </w:tr>
      <w:tr w:rsidR="00E27519" w14:paraId="6113E5A1" w14:textId="77777777" w:rsidTr="00E06E22">
        <w:trPr>
          <w:trHeight w:val="600"/>
          <w:jc w:val="center"/>
        </w:trPr>
        <w:tc>
          <w:tcPr>
            <w:tcW w:w="5033" w:type="dxa"/>
            <w:tcBorders>
              <w:top w:val="nil"/>
              <w:left w:val="single" w:sz="4" w:space="0" w:color="auto"/>
              <w:bottom w:val="single" w:sz="4" w:space="0" w:color="auto"/>
              <w:right w:val="single" w:sz="4" w:space="0" w:color="auto"/>
            </w:tcBorders>
            <w:shd w:val="clear" w:color="auto" w:fill="auto"/>
            <w:vAlign w:val="center"/>
          </w:tcPr>
          <w:p w14:paraId="751FF992" w14:textId="77777777" w:rsidR="00E27519" w:rsidRDefault="0003178C">
            <w:pPr>
              <w:suppressAutoHyphens w:val="0"/>
              <w:spacing w:before="0"/>
              <w:rPr>
                <w:rFonts w:cs="Times New Roman"/>
                <w:color w:val="000000"/>
                <w:sz w:val="20"/>
                <w:lang w:eastAsia="it-IT" w:bidi="ar-SA"/>
              </w:rPr>
            </w:pPr>
            <w:r>
              <w:rPr>
                <w:rFonts w:cs="Times New Roman"/>
                <w:color w:val="000000"/>
                <w:sz w:val="20"/>
                <w:lang w:eastAsia="it-IT" w:bidi="ar-SA"/>
              </w:rPr>
              <w:t>Volume di prestazioni di specialistica ambulatoriale: diagnostica</w:t>
            </w:r>
          </w:p>
        </w:tc>
        <w:tc>
          <w:tcPr>
            <w:tcW w:w="1060" w:type="dxa"/>
            <w:tcBorders>
              <w:top w:val="nil"/>
              <w:left w:val="nil"/>
              <w:bottom w:val="single" w:sz="4" w:space="0" w:color="auto"/>
              <w:right w:val="single" w:sz="4" w:space="0" w:color="auto"/>
            </w:tcBorders>
            <w:shd w:val="clear" w:color="auto" w:fill="auto"/>
            <w:vAlign w:val="center"/>
          </w:tcPr>
          <w:p w14:paraId="66B651AB"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6.788.682</w:t>
            </w:r>
          </w:p>
        </w:tc>
        <w:tc>
          <w:tcPr>
            <w:tcW w:w="1132" w:type="dxa"/>
            <w:tcBorders>
              <w:top w:val="nil"/>
              <w:left w:val="nil"/>
              <w:bottom w:val="single" w:sz="4" w:space="0" w:color="auto"/>
              <w:right w:val="single" w:sz="4" w:space="0" w:color="auto"/>
            </w:tcBorders>
            <w:shd w:val="clear" w:color="auto" w:fill="auto"/>
            <w:vAlign w:val="center"/>
          </w:tcPr>
          <w:p w14:paraId="7B68023B"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876.074</w:t>
            </w:r>
          </w:p>
        </w:tc>
        <w:tc>
          <w:tcPr>
            <w:tcW w:w="1656" w:type="dxa"/>
            <w:tcBorders>
              <w:top w:val="nil"/>
              <w:left w:val="nil"/>
              <w:bottom w:val="single" w:sz="4" w:space="0" w:color="auto"/>
              <w:right w:val="single" w:sz="4" w:space="0" w:color="auto"/>
            </w:tcBorders>
            <w:shd w:val="clear" w:color="auto" w:fill="auto"/>
            <w:vAlign w:val="center"/>
          </w:tcPr>
          <w:p w14:paraId="602A8DF6"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882.352</w:t>
            </w:r>
          </w:p>
        </w:tc>
        <w:tc>
          <w:tcPr>
            <w:tcW w:w="1099" w:type="dxa"/>
            <w:tcBorders>
              <w:top w:val="nil"/>
              <w:left w:val="nil"/>
              <w:bottom w:val="single" w:sz="4" w:space="0" w:color="auto"/>
              <w:right w:val="single" w:sz="4" w:space="0" w:color="auto"/>
            </w:tcBorders>
            <w:shd w:val="clear" w:color="000000" w:fill="0070C0"/>
            <w:vAlign w:val="center"/>
          </w:tcPr>
          <w:p w14:paraId="5B95125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00EEB7F5" w14:textId="77777777" w:rsidR="00E27519" w:rsidRDefault="0003178C">
            <w:pPr>
              <w:suppressAutoHyphens w:val="0"/>
              <w:spacing w:before="0"/>
              <w:jc w:val="center"/>
              <w:rPr>
                <w:rFonts w:cs="Times New Roman"/>
                <w:color w:val="000000"/>
                <w:sz w:val="24"/>
                <w:lang w:eastAsia="it-IT" w:bidi="ar-SA"/>
              </w:rPr>
            </w:pPr>
            <w:r>
              <w:rPr>
                <w:rFonts w:cs="Times New Roman"/>
                <w:color w:val="000000"/>
                <w:sz w:val="24"/>
                <w:lang w:eastAsia="it-IT" w:bidi="ar-SA"/>
              </w:rPr>
              <w:t>-</w:t>
            </w:r>
          </w:p>
        </w:tc>
      </w:tr>
      <w:tr w:rsidR="00E27519" w14:paraId="40204C07" w14:textId="77777777" w:rsidTr="00E06E22">
        <w:trPr>
          <w:trHeight w:val="600"/>
          <w:jc w:val="center"/>
        </w:trPr>
        <w:tc>
          <w:tcPr>
            <w:tcW w:w="5033" w:type="dxa"/>
            <w:tcBorders>
              <w:top w:val="nil"/>
              <w:left w:val="single" w:sz="4" w:space="0" w:color="auto"/>
              <w:bottom w:val="single" w:sz="4" w:space="0" w:color="auto"/>
              <w:right w:val="single" w:sz="4" w:space="0" w:color="auto"/>
            </w:tcBorders>
            <w:shd w:val="clear" w:color="auto" w:fill="auto"/>
            <w:vAlign w:val="center"/>
          </w:tcPr>
          <w:p w14:paraId="535D3119" w14:textId="77777777" w:rsidR="00E27519" w:rsidRDefault="0003178C">
            <w:pPr>
              <w:suppressAutoHyphens w:val="0"/>
              <w:spacing w:before="0"/>
              <w:rPr>
                <w:rFonts w:cs="Times New Roman"/>
                <w:color w:val="000000"/>
                <w:sz w:val="20"/>
                <w:lang w:eastAsia="it-IT" w:bidi="ar-SA"/>
              </w:rPr>
            </w:pPr>
            <w:r>
              <w:rPr>
                <w:rFonts w:cs="Times New Roman"/>
                <w:color w:val="000000"/>
                <w:sz w:val="20"/>
                <w:lang w:eastAsia="it-IT" w:bidi="ar-SA"/>
              </w:rPr>
              <w:t>Volume di prestazioni di specialistica ambulatoriale: visite</w:t>
            </w:r>
          </w:p>
        </w:tc>
        <w:tc>
          <w:tcPr>
            <w:tcW w:w="1060" w:type="dxa"/>
            <w:tcBorders>
              <w:top w:val="nil"/>
              <w:left w:val="nil"/>
              <w:bottom w:val="single" w:sz="4" w:space="0" w:color="auto"/>
              <w:right w:val="single" w:sz="4" w:space="0" w:color="auto"/>
            </w:tcBorders>
            <w:shd w:val="clear" w:color="auto" w:fill="auto"/>
            <w:vAlign w:val="center"/>
          </w:tcPr>
          <w:p w14:paraId="393168B2"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6.364.012</w:t>
            </w:r>
          </w:p>
        </w:tc>
        <w:tc>
          <w:tcPr>
            <w:tcW w:w="1132" w:type="dxa"/>
            <w:tcBorders>
              <w:top w:val="nil"/>
              <w:left w:val="nil"/>
              <w:bottom w:val="single" w:sz="4" w:space="0" w:color="auto"/>
              <w:right w:val="single" w:sz="4" w:space="0" w:color="auto"/>
            </w:tcBorders>
            <w:shd w:val="clear" w:color="auto" w:fill="auto"/>
            <w:vAlign w:val="center"/>
          </w:tcPr>
          <w:p w14:paraId="378A3B9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680.128</w:t>
            </w:r>
          </w:p>
        </w:tc>
        <w:tc>
          <w:tcPr>
            <w:tcW w:w="1656" w:type="dxa"/>
            <w:tcBorders>
              <w:top w:val="nil"/>
              <w:left w:val="nil"/>
              <w:bottom w:val="single" w:sz="4" w:space="0" w:color="auto"/>
              <w:right w:val="single" w:sz="4" w:space="0" w:color="auto"/>
            </w:tcBorders>
            <w:shd w:val="clear" w:color="auto" w:fill="auto"/>
            <w:vAlign w:val="center"/>
          </w:tcPr>
          <w:p w14:paraId="4D1E1D20"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688.583</w:t>
            </w:r>
          </w:p>
        </w:tc>
        <w:tc>
          <w:tcPr>
            <w:tcW w:w="1099" w:type="dxa"/>
            <w:tcBorders>
              <w:top w:val="nil"/>
              <w:left w:val="nil"/>
              <w:bottom w:val="single" w:sz="4" w:space="0" w:color="auto"/>
              <w:right w:val="single" w:sz="4" w:space="0" w:color="auto"/>
            </w:tcBorders>
            <w:shd w:val="clear" w:color="000000" w:fill="0070C0"/>
            <w:vAlign w:val="center"/>
          </w:tcPr>
          <w:p w14:paraId="175030B7"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7A699905" w14:textId="77777777" w:rsidR="00E27519" w:rsidRDefault="0003178C">
            <w:pPr>
              <w:suppressAutoHyphens w:val="0"/>
              <w:spacing w:before="0"/>
              <w:jc w:val="center"/>
              <w:rPr>
                <w:rFonts w:cs="Times New Roman"/>
                <w:color w:val="000000"/>
                <w:sz w:val="24"/>
                <w:lang w:eastAsia="it-IT" w:bidi="ar-SA"/>
              </w:rPr>
            </w:pPr>
            <w:r>
              <w:rPr>
                <w:rFonts w:cs="Times New Roman"/>
                <w:color w:val="000000"/>
                <w:sz w:val="24"/>
                <w:lang w:eastAsia="it-IT" w:bidi="ar-SA"/>
              </w:rPr>
              <w:t>-</w:t>
            </w:r>
          </w:p>
        </w:tc>
      </w:tr>
      <w:tr w:rsidR="00E27519" w14:paraId="32124312" w14:textId="77777777" w:rsidTr="00E06E22">
        <w:trPr>
          <w:trHeight w:val="600"/>
          <w:jc w:val="center"/>
        </w:trPr>
        <w:tc>
          <w:tcPr>
            <w:tcW w:w="5033" w:type="dxa"/>
            <w:tcBorders>
              <w:top w:val="nil"/>
              <w:left w:val="single" w:sz="4" w:space="0" w:color="auto"/>
              <w:bottom w:val="single" w:sz="4" w:space="0" w:color="auto"/>
              <w:right w:val="single" w:sz="4" w:space="0" w:color="auto"/>
            </w:tcBorders>
            <w:shd w:val="clear" w:color="auto" w:fill="auto"/>
            <w:vAlign w:val="center"/>
          </w:tcPr>
          <w:p w14:paraId="32118215" w14:textId="77777777" w:rsidR="00E27519" w:rsidRDefault="0003178C">
            <w:pPr>
              <w:suppressAutoHyphens w:val="0"/>
              <w:spacing w:before="0"/>
              <w:rPr>
                <w:rFonts w:cs="Times New Roman"/>
                <w:color w:val="000000"/>
                <w:sz w:val="20"/>
                <w:lang w:eastAsia="it-IT" w:bidi="ar-SA"/>
              </w:rPr>
            </w:pPr>
            <w:r>
              <w:rPr>
                <w:rFonts w:cs="Times New Roman"/>
                <w:color w:val="000000"/>
                <w:sz w:val="20"/>
                <w:lang w:eastAsia="it-IT" w:bidi="ar-SA"/>
              </w:rPr>
              <w:t>Volume di prestazioni di specialistica ambulatoriale: laboratorio</w:t>
            </w:r>
          </w:p>
        </w:tc>
        <w:tc>
          <w:tcPr>
            <w:tcW w:w="1060" w:type="dxa"/>
            <w:tcBorders>
              <w:top w:val="nil"/>
              <w:left w:val="nil"/>
              <w:bottom w:val="single" w:sz="4" w:space="0" w:color="auto"/>
              <w:right w:val="single" w:sz="4" w:space="0" w:color="auto"/>
            </w:tcBorders>
            <w:shd w:val="clear" w:color="auto" w:fill="auto"/>
            <w:vAlign w:val="center"/>
          </w:tcPr>
          <w:p w14:paraId="64B83BCA"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43.108.376</w:t>
            </w:r>
          </w:p>
        </w:tc>
        <w:tc>
          <w:tcPr>
            <w:tcW w:w="1132" w:type="dxa"/>
            <w:tcBorders>
              <w:top w:val="nil"/>
              <w:left w:val="nil"/>
              <w:bottom w:val="single" w:sz="4" w:space="0" w:color="auto"/>
              <w:right w:val="single" w:sz="4" w:space="0" w:color="auto"/>
            </w:tcBorders>
            <w:shd w:val="clear" w:color="auto" w:fill="auto"/>
            <w:vAlign w:val="center"/>
          </w:tcPr>
          <w:p w14:paraId="0ADA9E43"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7.059.928</w:t>
            </w:r>
          </w:p>
        </w:tc>
        <w:tc>
          <w:tcPr>
            <w:tcW w:w="1656" w:type="dxa"/>
            <w:tcBorders>
              <w:top w:val="nil"/>
              <w:left w:val="nil"/>
              <w:bottom w:val="single" w:sz="4" w:space="0" w:color="auto"/>
              <w:right w:val="single" w:sz="4" w:space="0" w:color="auto"/>
            </w:tcBorders>
            <w:shd w:val="clear" w:color="auto" w:fill="auto"/>
            <w:vAlign w:val="center"/>
          </w:tcPr>
          <w:p w14:paraId="7FF616B3"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6.786.151</w:t>
            </w:r>
          </w:p>
        </w:tc>
        <w:tc>
          <w:tcPr>
            <w:tcW w:w="1099" w:type="dxa"/>
            <w:tcBorders>
              <w:top w:val="nil"/>
              <w:left w:val="nil"/>
              <w:bottom w:val="single" w:sz="4" w:space="0" w:color="auto"/>
              <w:right w:val="single" w:sz="4" w:space="0" w:color="auto"/>
            </w:tcBorders>
            <w:shd w:val="clear" w:color="000000" w:fill="0070C0"/>
            <w:vAlign w:val="center"/>
          </w:tcPr>
          <w:p w14:paraId="1ED1D13B"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7254962D" w14:textId="77777777" w:rsidR="00E27519" w:rsidRDefault="0003178C">
            <w:pPr>
              <w:suppressAutoHyphens w:val="0"/>
              <w:spacing w:before="0"/>
              <w:jc w:val="center"/>
              <w:rPr>
                <w:rFonts w:cs="Times New Roman"/>
                <w:color w:val="000000"/>
                <w:sz w:val="24"/>
                <w:lang w:eastAsia="it-IT" w:bidi="ar-SA"/>
              </w:rPr>
            </w:pPr>
            <w:r>
              <w:rPr>
                <w:rFonts w:cs="Times New Roman"/>
                <w:color w:val="000000"/>
                <w:sz w:val="24"/>
                <w:lang w:eastAsia="it-IT" w:bidi="ar-SA"/>
              </w:rPr>
              <w:t>-</w:t>
            </w:r>
          </w:p>
        </w:tc>
      </w:tr>
    </w:tbl>
    <w:p w14:paraId="01A3D3CC" w14:textId="77777777" w:rsidR="00E27519" w:rsidRDefault="0003178C">
      <w:pPr>
        <w:ind w:right="284"/>
        <w:jc w:val="both"/>
        <w:rPr>
          <w:rFonts w:asciiTheme="minorHAnsi" w:eastAsia="Calibri" w:hAnsiTheme="minorHAnsi"/>
          <w:sz w:val="16"/>
          <w:lang w:eastAsia="en-US"/>
        </w:rPr>
      </w:pPr>
      <w:r>
        <w:rPr>
          <w:rFonts w:eastAsia="Calibri"/>
          <w:sz w:val="16"/>
          <w:lang w:eastAsia="en-US"/>
        </w:rPr>
        <w:t xml:space="preserve">Fonte: Regione Emilia Romagna, SIVER, 2016. </w:t>
      </w:r>
      <w:hyperlink r:id="rId31" w:history="1">
        <w:r>
          <w:rPr>
            <w:rStyle w:val="Collegamentoipertestuale"/>
            <w:rFonts w:eastAsia="Calibri"/>
            <w:sz w:val="16"/>
            <w:lang w:eastAsia="en-US"/>
          </w:rPr>
          <w:t>http://salute.regione.emilia-romagna.it/siseps/siver</w:t>
        </w:r>
      </w:hyperlink>
      <w:r>
        <w:rPr>
          <w:rFonts w:eastAsia="Calibri"/>
          <w:sz w:val="16"/>
          <w:lang w:eastAsia="en-US"/>
        </w:rPr>
        <w:t xml:space="preserve">. </w:t>
      </w:r>
    </w:p>
    <w:p w14:paraId="0500ECD0" w14:textId="77777777" w:rsidR="00E27519" w:rsidRDefault="00E27519">
      <w:pPr>
        <w:spacing w:after="120"/>
        <w:contextualSpacing/>
        <w:jc w:val="both"/>
        <w:rPr>
          <w:rFonts w:eastAsia="Calibri"/>
          <w:sz w:val="20"/>
          <w:highlight w:val="green"/>
          <w:lang w:eastAsia="en-US"/>
        </w:rPr>
      </w:pPr>
    </w:p>
    <w:p w14:paraId="0F89A7C8" w14:textId="77777777" w:rsidR="00E27519" w:rsidRDefault="00E27519">
      <w:pPr>
        <w:spacing w:after="120"/>
        <w:contextualSpacing/>
        <w:jc w:val="both"/>
        <w:rPr>
          <w:rFonts w:eastAsia="Calibri"/>
          <w:sz w:val="20"/>
          <w:highlight w:val="green"/>
          <w:lang w:eastAsia="en-US"/>
        </w:rPr>
      </w:pPr>
    </w:p>
    <w:p w14:paraId="2EF655D1" w14:textId="77777777" w:rsidR="00E27519" w:rsidRDefault="0003178C">
      <w:pPr>
        <w:spacing w:after="120"/>
        <w:contextualSpacing/>
        <w:jc w:val="both"/>
        <w:rPr>
          <w:rFonts w:eastAsia="Calibri"/>
          <w:sz w:val="20"/>
          <w:lang w:eastAsia="en-US"/>
        </w:rPr>
      </w:pPr>
      <w:r>
        <w:rPr>
          <w:rFonts w:eastAsia="Calibri"/>
          <w:sz w:val="20"/>
          <w:lang w:eastAsia="en-US"/>
        </w:rPr>
        <w:t>Produzione-Prevenzione</w:t>
      </w:r>
    </w:p>
    <w:tbl>
      <w:tblPr>
        <w:tblW w:w="10480" w:type="dxa"/>
        <w:jc w:val="center"/>
        <w:tblLayout w:type="fixed"/>
        <w:tblCellMar>
          <w:left w:w="70" w:type="dxa"/>
          <w:right w:w="70" w:type="dxa"/>
        </w:tblCellMar>
        <w:tblLook w:val="04A0" w:firstRow="1" w:lastRow="0" w:firstColumn="1" w:lastColumn="0" w:noHBand="0" w:noVBand="1"/>
      </w:tblPr>
      <w:tblGrid>
        <w:gridCol w:w="5082"/>
        <w:gridCol w:w="580"/>
        <w:gridCol w:w="1279"/>
        <w:gridCol w:w="1484"/>
        <w:gridCol w:w="1099"/>
        <w:gridCol w:w="956"/>
      </w:tblGrid>
      <w:tr w:rsidR="00E27519" w14:paraId="7E7178D6" w14:textId="77777777" w:rsidTr="00E06E22">
        <w:trPr>
          <w:trHeight w:val="600"/>
          <w:jc w:val="center"/>
        </w:trPr>
        <w:tc>
          <w:tcPr>
            <w:tcW w:w="5082" w:type="dxa"/>
            <w:tcBorders>
              <w:top w:val="single" w:sz="4" w:space="0" w:color="auto"/>
              <w:left w:val="single" w:sz="4" w:space="0" w:color="auto"/>
              <w:bottom w:val="single" w:sz="4" w:space="0" w:color="auto"/>
              <w:right w:val="single" w:sz="4" w:space="0" w:color="auto"/>
            </w:tcBorders>
            <w:shd w:val="clear" w:color="auto" w:fill="auto"/>
            <w:vAlign w:val="center"/>
          </w:tcPr>
          <w:p w14:paraId="3B47094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Indicatore</w:t>
            </w:r>
          </w:p>
        </w:tc>
        <w:tc>
          <w:tcPr>
            <w:tcW w:w="580" w:type="dxa"/>
            <w:tcBorders>
              <w:top w:val="single" w:sz="2" w:space="0" w:color="auto"/>
              <w:left w:val="nil"/>
              <w:bottom w:val="single" w:sz="2" w:space="0" w:color="auto"/>
              <w:right w:val="single" w:sz="2" w:space="0" w:color="auto"/>
            </w:tcBorders>
            <w:shd w:val="clear" w:color="auto" w:fill="auto"/>
            <w:vAlign w:val="center"/>
          </w:tcPr>
          <w:p w14:paraId="2F3C9AE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430E5D4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279" w:type="dxa"/>
            <w:tcBorders>
              <w:top w:val="single" w:sz="4" w:space="0" w:color="auto"/>
              <w:left w:val="nil"/>
              <w:bottom w:val="single" w:sz="4" w:space="0" w:color="auto"/>
              <w:right w:val="single" w:sz="4" w:space="0" w:color="auto"/>
            </w:tcBorders>
            <w:shd w:val="clear" w:color="auto" w:fill="auto"/>
            <w:vAlign w:val="center"/>
          </w:tcPr>
          <w:p w14:paraId="191DB88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1484" w:type="dxa"/>
            <w:tcBorders>
              <w:top w:val="single" w:sz="4" w:space="0" w:color="auto"/>
              <w:left w:val="nil"/>
              <w:bottom w:val="single" w:sz="4" w:space="0" w:color="auto"/>
              <w:right w:val="single" w:sz="4" w:space="0" w:color="auto"/>
            </w:tcBorders>
            <w:shd w:val="clear" w:color="auto" w:fill="auto"/>
            <w:vAlign w:val="center"/>
          </w:tcPr>
          <w:p w14:paraId="243CC1F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49E955E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99" w:type="dxa"/>
            <w:tcBorders>
              <w:top w:val="single" w:sz="4" w:space="0" w:color="auto"/>
              <w:left w:val="nil"/>
              <w:bottom w:val="single" w:sz="4" w:space="0" w:color="auto"/>
              <w:right w:val="single" w:sz="4" w:space="0" w:color="auto"/>
            </w:tcBorders>
            <w:shd w:val="clear" w:color="auto" w:fill="auto"/>
            <w:vAlign w:val="center"/>
          </w:tcPr>
          <w:p w14:paraId="179060F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18E4E7D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956" w:type="dxa"/>
            <w:tcBorders>
              <w:top w:val="single" w:sz="4" w:space="0" w:color="auto"/>
              <w:left w:val="nil"/>
              <w:bottom w:val="single" w:sz="4" w:space="0" w:color="auto"/>
              <w:right w:val="single" w:sz="4" w:space="0" w:color="auto"/>
            </w:tcBorders>
            <w:shd w:val="clear" w:color="auto" w:fill="auto"/>
            <w:vAlign w:val="center"/>
          </w:tcPr>
          <w:p w14:paraId="209E92C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7B621118" w14:textId="77777777" w:rsidTr="00E06E22">
        <w:trPr>
          <w:trHeight w:val="600"/>
          <w:jc w:val="center"/>
        </w:trPr>
        <w:tc>
          <w:tcPr>
            <w:tcW w:w="5082" w:type="dxa"/>
            <w:tcBorders>
              <w:top w:val="nil"/>
              <w:left w:val="single" w:sz="4" w:space="0" w:color="auto"/>
              <w:bottom w:val="single" w:sz="4" w:space="0" w:color="auto"/>
              <w:right w:val="single" w:sz="4" w:space="0" w:color="auto"/>
            </w:tcBorders>
            <w:shd w:val="clear" w:color="auto" w:fill="auto"/>
            <w:vAlign w:val="center"/>
          </w:tcPr>
          <w:p w14:paraId="6235B1CF"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fumatori consigliati dal medico o altro operatore sanitario di smettere di fumare</w:t>
            </w:r>
          </w:p>
        </w:tc>
        <w:tc>
          <w:tcPr>
            <w:tcW w:w="580" w:type="dxa"/>
            <w:tcBorders>
              <w:top w:val="nil"/>
              <w:left w:val="nil"/>
              <w:bottom w:val="single" w:sz="4" w:space="0" w:color="auto"/>
              <w:right w:val="single" w:sz="4" w:space="0" w:color="auto"/>
            </w:tcBorders>
            <w:shd w:val="clear" w:color="auto" w:fill="auto"/>
            <w:vAlign w:val="center"/>
          </w:tcPr>
          <w:p w14:paraId="40F34D0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48,4</w:t>
            </w:r>
          </w:p>
        </w:tc>
        <w:tc>
          <w:tcPr>
            <w:tcW w:w="1279" w:type="dxa"/>
            <w:tcBorders>
              <w:top w:val="nil"/>
              <w:left w:val="nil"/>
              <w:bottom w:val="single" w:sz="4" w:space="0" w:color="auto"/>
              <w:right w:val="single" w:sz="4" w:space="0" w:color="auto"/>
            </w:tcBorders>
            <w:shd w:val="clear" w:color="auto" w:fill="auto"/>
            <w:vAlign w:val="center"/>
          </w:tcPr>
          <w:p w14:paraId="50DE146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53</w:t>
            </w:r>
          </w:p>
        </w:tc>
        <w:tc>
          <w:tcPr>
            <w:tcW w:w="1484" w:type="dxa"/>
            <w:tcBorders>
              <w:top w:val="nil"/>
              <w:left w:val="nil"/>
              <w:bottom w:val="single" w:sz="4" w:space="0" w:color="auto"/>
              <w:right w:val="single" w:sz="4" w:space="0" w:color="auto"/>
            </w:tcBorders>
            <w:shd w:val="clear" w:color="auto" w:fill="auto"/>
            <w:vAlign w:val="center"/>
          </w:tcPr>
          <w:p w14:paraId="72C1829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49,3</w:t>
            </w:r>
          </w:p>
        </w:tc>
        <w:tc>
          <w:tcPr>
            <w:tcW w:w="1099" w:type="dxa"/>
            <w:tcBorders>
              <w:top w:val="nil"/>
              <w:left w:val="nil"/>
              <w:bottom w:val="single" w:sz="4" w:space="0" w:color="auto"/>
              <w:right w:val="single" w:sz="4" w:space="0" w:color="auto"/>
            </w:tcBorders>
            <w:shd w:val="clear" w:color="000000" w:fill="FFFF00"/>
            <w:vAlign w:val="center"/>
          </w:tcPr>
          <w:p w14:paraId="04BCC10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56" w:type="dxa"/>
            <w:tcBorders>
              <w:top w:val="nil"/>
              <w:left w:val="nil"/>
              <w:bottom w:val="single" w:sz="4" w:space="0" w:color="auto"/>
              <w:right w:val="single" w:sz="4" w:space="0" w:color="auto"/>
            </w:tcBorders>
            <w:shd w:val="clear" w:color="auto" w:fill="auto"/>
            <w:vAlign w:val="center"/>
          </w:tcPr>
          <w:p w14:paraId="58457338"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44DA7C41" w14:textId="77777777" w:rsidTr="00E06E22">
        <w:trPr>
          <w:trHeight w:val="600"/>
          <w:jc w:val="center"/>
        </w:trPr>
        <w:tc>
          <w:tcPr>
            <w:tcW w:w="5082" w:type="dxa"/>
            <w:tcBorders>
              <w:top w:val="nil"/>
              <w:left w:val="single" w:sz="4" w:space="0" w:color="auto"/>
              <w:bottom w:val="single" w:sz="4" w:space="0" w:color="auto"/>
              <w:right w:val="single" w:sz="4" w:space="0" w:color="auto"/>
            </w:tcBorders>
            <w:shd w:val="clear" w:color="auto" w:fill="auto"/>
            <w:vAlign w:val="center"/>
          </w:tcPr>
          <w:p w14:paraId="7C36B92E"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lastRenderedPageBreak/>
              <w:t xml:space="preserve">% di persone intervistate consigliate dal medico o altro operatore sanitario di fare </w:t>
            </w:r>
            <w:proofErr w:type="spellStart"/>
            <w:r>
              <w:rPr>
                <w:rFonts w:asciiTheme="minorHAnsi" w:hAnsiTheme="minorHAnsi" w:cs="Times New Roman"/>
                <w:color w:val="000000"/>
                <w:sz w:val="20"/>
                <w:lang w:eastAsia="it-IT" w:bidi="ar-SA"/>
              </w:rPr>
              <w:t>attivita</w:t>
            </w:r>
            <w:proofErr w:type="spellEnd"/>
            <w:r>
              <w:rPr>
                <w:rFonts w:asciiTheme="minorHAnsi" w:hAnsiTheme="minorHAnsi" w:cs="Times New Roman"/>
                <w:color w:val="000000"/>
                <w:sz w:val="20"/>
                <w:lang w:eastAsia="it-IT" w:bidi="ar-SA"/>
              </w:rPr>
              <w:t xml:space="preserve"> fisica</w:t>
            </w:r>
          </w:p>
        </w:tc>
        <w:tc>
          <w:tcPr>
            <w:tcW w:w="580" w:type="dxa"/>
            <w:tcBorders>
              <w:top w:val="nil"/>
              <w:left w:val="nil"/>
              <w:bottom w:val="single" w:sz="4" w:space="0" w:color="auto"/>
              <w:right w:val="single" w:sz="4" w:space="0" w:color="auto"/>
            </w:tcBorders>
            <w:shd w:val="clear" w:color="auto" w:fill="auto"/>
            <w:vAlign w:val="center"/>
          </w:tcPr>
          <w:p w14:paraId="5A6B167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35,3</w:t>
            </w:r>
          </w:p>
        </w:tc>
        <w:tc>
          <w:tcPr>
            <w:tcW w:w="1279" w:type="dxa"/>
            <w:tcBorders>
              <w:top w:val="nil"/>
              <w:left w:val="nil"/>
              <w:bottom w:val="single" w:sz="4" w:space="0" w:color="auto"/>
              <w:right w:val="single" w:sz="4" w:space="0" w:color="auto"/>
            </w:tcBorders>
            <w:shd w:val="clear" w:color="auto" w:fill="auto"/>
            <w:vAlign w:val="center"/>
          </w:tcPr>
          <w:p w14:paraId="5949BDB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31</w:t>
            </w:r>
          </w:p>
        </w:tc>
        <w:tc>
          <w:tcPr>
            <w:tcW w:w="1484" w:type="dxa"/>
            <w:tcBorders>
              <w:top w:val="nil"/>
              <w:left w:val="nil"/>
              <w:bottom w:val="single" w:sz="4" w:space="0" w:color="auto"/>
              <w:right w:val="single" w:sz="4" w:space="0" w:color="auto"/>
            </w:tcBorders>
            <w:shd w:val="clear" w:color="auto" w:fill="auto"/>
            <w:vAlign w:val="center"/>
          </w:tcPr>
          <w:p w14:paraId="7CFF807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33,2</w:t>
            </w:r>
          </w:p>
        </w:tc>
        <w:tc>
          <w:tcPr>
            <w:tcW w:w="1099" w:type="dxa"/>
            <w:tcBorders>
              <w:top w:val="nil"/>
              <w:left w:val="nil"/>
              <w:bottom w:val="single" w:sz="4" w:space="0" w:color="auto"/>
              <w:right w:val="single" w:sz="4" w:space="0" w:color="auto"/>
            </w:tcBorders>
            <w:shd w:val="clear" w:color="000000" w:fill="92D050"/>
            <w:vAlign w:val="center"/>
          </w:tcPr>
          <w:p w14:paraId="70F18DB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56" w:type="dxa"/>
            <w:tcBorders>
              <w:top w:val="nil"/>
              <w:left w:val="nil"/>
              <w:bottom w:val="single" w:sz="4" w:space="0" w:color="auto"/>
              <w:right w:val="single" w:sz="4" w:space="0" w:color="auto"/>
            </w:tcBorders>
            <w:shd w:val="clear" w:color="auto" w:fill="auto"/>
            <w:vAlign w:val="center"/>
          </w:tcPr>
          <w:p w14:paraId="7DD73A0A"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2D516443" w14:textId="77777777" w:rsidTr="00E06E22">
        <w:trPr>
          <w:trHeight w:val="600"/>
          <w:jc w:val="center"/>
        </w:trPr>
        <w:tc>
          <w:tcPr>
            <w:tcW w:w="5082" w:type="dxa"/>
            <w:tcBorders>
              <w:top w:val="nil"/>
              <w:left w:val="single" w:sz="4" w:space="0" w:color="auto"/>
              <w:bottom w:val="single" w:sz="4" w:space="0" w:color="auto"/>
              <w:right w:val="single" w:sz="4" w:space="0" w:color="auto"/>
            </w:tcBorders>
            <w:shd w:val="clear" w:color="auto" w:fill="auto"/>
            <w:vAlign w:val="center"/>
          </w:tcPr>
          <w:p w14:paraId="0CDDB5BD"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donne che hanno partecipato allo screening mammografico rispetto alle donne invitate</w:t>
            </w:r>
          </w:p>
        </w:tc>
        <w:tc>
          <w:tcPr>
            <w:tcW w:w="580" w:type="dxa"/>
            <w:tcBorders>
              <w:top w:val="nil"/>
              <w:left w:val="nil"/>
              <w:bottom w:val="single" w:sz="4" w:space="0" w:color="auto"/>
              <w:right w:val="single" w:sz="4" w:space="0" w:color="auto"/>
            </w:tcBorders>
            <w:shd w:val="clear" w:color="auto" w:fill="auto"/>
            <w:vAlign w:val="center"/>
          </w:tcPr>
          <w:p w14:paraId="3091CB4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76,4</w:t>
            </w:r>
          </w:p>
        </w:tc>
        <w:tc>
          <w:tcPr>
            <w:tcW w:w="1279" w:type="dxa"/>
            <w:tcBorders>
              <w:top w:val="nil"/>
              <w:left w:val="nil"/>
              <w:bottom w:val="single" w:sz="4" w:space="0" w:color="auto"/>
              <w:right w:val="single" w:sz="4" w:space="0" w:color="auto"/>
            </w:tcBorders>
            <w:shd w:val="clear" w:color="auto" w:fill="auto"/>
            <w:vAlign w:val="center"/>
          </w:tcPr>
          <w:p w14:paraId="642F744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78,06</w:t>
            </w:r>
          </w:p>
        </w:tc>
        <w:tc>
          <w:tcPr>
            <w:tcW w:w="1484" w:type="dxa"/>
            <w:tcBorders>
              <w:top w:val="nil"/>
              <w:left w:val="nil"/>
              <w:bottom w:val="single" w:sz="4" w:space="0" w:color="auto"/>
              <w:right w:val="single" w:sz="4" w:space="0" w:color="auto"/>
            </w:tcBorders>
            <w:shd w:val="clear" w:color="auto" w:fill="auto"/>
            <w:vAlign w:val="center"/>
          </w:tcPr>
          <w:p w14:paraId="0B8C7E5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85,42</w:t>
            </w:r>
          </w:p>
        </w:tc>
        <w:tc>
          <w:tcPr>
            <w:tcW w:w="1099" w:type="dxa"/>
            <w:tcBorders>
              <w:top w:val="nil"/>
              <w:left w:val="nil"/>
              <w:bottom w:val="single" w:sz="4" w:space="0" w:color="auto"/>
              <w:right w:val="single" w:sz="4" w:space="0" w:color="auto"/>
            </w:tcBorders>
            <w:shd w:val="clear" w:color="000000" w:fill="00B050"/>
            <w:vAlign w:val="center"/>
          </w:tcPr>
          <w:p w14:paraId="27D7B27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56" w:type="dxa"/>
            <w:tcBorders>
              <w:top w:val="nil"/>
              <w:left w:val="nil"/>
              <w:bottom w:val="single" w:sz="4" w:space="0" w:color="auto"/>
              <w:right w:val="single" w:sz="4" w:space="0" w:color="auto"/>
            </w:tcBorders>
            <w:shd w:val="clear" w:color="auto" w:fill="auto"/>
            <w:vAlign w:val="center"/>
          </w:tcPr>
          <w:p w14:paraId="18E53C92"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3D759A64" w14:textId="77777777" w:rsidTr="00E06E22">
        <w:trPr>
          <w:trHeight w:val="600"/>
          <w:jc w:val="center"/>
        </w:trPr>
        <w:tc>
          <w:tcPr>
            <w:tcW w:w="5082" w:type="dxa"/>
            <w:tcBorders>
              <w:top w:val="nil"/>
              <w:left w:val="single" w:sz="4" w:space="0" w:color="auto"/>
              <w:bottom w:val="single" w:sz="4" w:space="0" w:color="auto"/>
              <w:right w:val="single" w:sz="4" w:space="0" w:color="auto"/>
            </w:tcBorders>
            <w:shd w:val="clear" w:color="auto" w:fill="auto"/>
            <w:vAlign w:val="center"/>
          </w:tcPr>
          <w:p w14:paraId="26803329"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 di persone che hanno partecipato allo screening </w:t>
            </w:r>
            <w:proofErr w:type="spellStart"/>
            <w:r>
              <w:rPr>
                <w:rFonts w:asciiTheme="minorHAnsi" w:hAnsiTheme="minorHAnsi" w:cs="Times New Roman"/>
                <w:color w:val="000000"/>
                <w:sz w:val="20"/>
                <w:lang w:eastAsia="it-IT" w:bidi="ar-SA"/>
              </w:rPr>
              <w:t>colorettale</w:t>
            </w:r>
            <w:proofErr w:type="spellEnd"/>
            <w:r>
              <w:rPr>
                <w:rFonts w:asciiTheme="minorHAnsi" w:hAnsiTheme="minorHAnsi" w:cs="Times New Roman"/>
                <w:color w:val="000000"/>
                <w:sz w:val="20"/>
                <w:lang w:eastAsia="it-IT" w:bidi="ar-SA"/>
              </w:rPr>
              <w:t xml:space="preserve"> rispetto alle persone invitate</w:t>
            </w:r>
          </w:p>
        </w:tc>
        <w:tc>
          <w:tcPr>
            <w:tcW w:w="580" w:type="dxa"/>
            <w:tcBorders>
              <w:top w:val="nil"/>
              <w:left w:val="nil"/>
              <w:bottom w:val="single" w:sz="4" w:space="0" w:color="auto"/>
              <w:right w:val="single" w:sz="4" w:space="0" w:color="auto"/>
            </w:tcBorders>
            <w:shd w:val="clear" w:color="auto" w:fill="auto"/>
            <w:vAlign w:val="center"/>
          </w:tcPr>
          <w:p w14:paraId="1F37770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49,2</w:t>
            </w:r>
          </w:p>
        </w:tc>
        <w:tc>
          <w:tcPr>
            <w:tcW w:w="1279" w:type="dxa"/>
            <w:tcBorders>
              <w:top w:val="nil"/>
              <w:left w:val="nil"/>
              <w:bottom w:val="single" w:sz="4" w:space="0" w:color="auto"/>
              <w:right w:val="single" w:sz="4" w:space="0" w:color="auto"/>
            </w:tcBorders>
            <w:shd w:val="clear" w:color="auto" w:fill="auto"/>
            <w:vAlign w:val="center"/>
          </w:tcPr>
          <w:p w14:paraId="2DDEE85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49,87</w:t>
            </w:r>
          </w:p>
        </w:tc>
        <w:tc>
          <w:tcPr>
            <w:tcW w:w="1484" w:type="dxa"/>
            <w:tcBorders>
              <w:top w:val="nil"/>
              <w:left w:val="nil"/>
              <w:bottom w:val="single" w:sz="4" w:space="0" w:color="auto"/>
              <w:right w:val="single" w:sz="4" w:space="0" w:color="auto"/>
            </w:tcBorders>
            <w:shd w:val="clear" w:color="auto" w:fill="auto"/>
            <w:vAlign w:val="center"/>
          </w:tcPr>
          <w:p w14:paraId="5B8346E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45,64</w:t>
            </w:r>
          </w:p>
        </w:tc>
        <w:tc>
          <w:tcPr>
            <w:tcW w:w="1099" w:type="dxa"/>
            <w:tcBorders>
              <w:top w:val="nil"/>
              <w:left w:val="nil"/>
              <w:bottom w:val="single" w:sz="4" w:space="0" w:color="auto"/>
              <w:right w:val="single" w:sz="4" w:space="0" w:color="auto"/>
            </w:tcBorders>
            <w:shd w:val="clear" w:color="000000" w:fill="FFFF00"/>
            <w:vAlign w:val="center"/>
          </w:tcPr>
          <w:p w14:paraId="5644508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56" w:type="dxa"/>
            <w:tcBorders>
              <w:top w:val="nil"/>
              <w:left w:val="nil"/>
              <w:bottom w:val="single" w:sz="4" w:space="0" w:color="auto"/>
              <w:right w:val="single" w:sz="4" w:space="0" w:color="auto"/>
            </w:tcBorders>
            <w:shd w:val="clear" w:color="auto" w:fill="auto"/>
            <w:vAlign w:val="center"/>
          </w:tcPr>
          <w:p w14:paraId="15D23CDD"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1B03E5DD" w14:textId="77777777" w:rsidTr="00E06E22">
        <w:trPr>
          <w:trHeight w:val="600"/>
          <w:jc w:val="center"/>
        </w:trPr>
        <w:tc>
          <w:tcPr>
            <w:tcW w:w="5082" w:type="dxa"/>
            <w:tcBorders>
              <w:top w:val="nil"/>
              <w:left w:val="single" w:sz="4" w:space="0" w:color="auto"/>
              <w:bottom w:val="single" w:sz="4" w:space="0" w:color="auto"/>
              <w:right w:val="single" w:sz="4" w:space="0" w:color="auto"/>
            </w:tcBorders>
            <w:shd w:val="clear" w:color="auto" w:fill="auto"/>
            <w:vAlign w:val="center"/>
          </w:tcPr>
          <w:p w14:paraId="63B0B954"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Copertura vaccinale antinfluenzale negli anziani - GRIGLIA LEA</w:t>
            </w:r>
          </w:p>
        </w:tc>
        <w:tc>
          <w:tcPr>
            <w:tcW w:w="580" w:type="dxa"/>
            <w:tcBorders>
              <w:top w:val="nil"/>
              <w:left w:val="nil"/>
              <w:bottom w:val="single" w:sz="4" w:space="0" w:color="auto"/>
              <w:right w:val="single" w:sz="4" w:space="0" w:color="auto"/>
            </w:tcBorders>
            <w:shd w:val="clear" w:color="auto" w:fill="auto"/>
            <w:vAlign w:val="center"/>
          </w:tcPr>
          <w:p w14:paraId="0DC2C4E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53</w:t>
            </w:r>
          </w:p>
        </w:tc>
        <w:tc>
          <w:tcPr>
            <w:tcW w:w="1279" w:type="dxa"/>
            <w:tcBorders>
              <w:top w:val="nil"/>
              <w:left w:val="nil"/>
              <w:bottom w:val="single" w:sz="4" w:space="0" w:color="auto"/>
              <w:right w:val="single" w:sz="4" w:space="0" w:color="auto"/>
            </w:tcBorders>
            <w:shd w:val="clear" w:color="auto" w:fill="auto"/>
            <w:vAlign w:val="center"/>
          </w:tcPr>
          <w:p w14:paraId="04088F4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53,4</w:t>
            </w:r>
          </w:p>
        </w:tc>
        <w:tc>
          <w:tcPr>
            <w:tcW w:w="1484" w:type="dxa"/>
            <w:tcBorders>
              <w:top w:val="nil"/>
              <w:left w:val="nil"/>
              <w:bottom w:val="single" w:sz="4" w:space="0" w:color="auto"/>
              <w:right w:val="single" w:sz="4" w:space="0" w:color="auto"/>
            </w:tcBorders>
            <w:shd w:val="clear" w:color="auto" w:fill="auto"/>
            <w:vAlign w:val="center"/>
          </w:tcPr>
          <w:p w14:paraId="576DB44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54,96</w:t>
            </w:r>
          </w:p>
        </w:tc>
        <w:tc>
          <w:tcPr>
            <w:tcW w:w="1099" w:type="dxa"/>
            <w:tcBorders>
              <w:top w:val="nil"/>
              <w:left w:val="nil"/>
              <w:bottom w:val="single" w:sz="4" w:space="0" w:color="auto"/>
              <w:right w:val="single" w:sz="4" w:space="0" w:color="auto"/>
            </w:tcBorders>
            <w:shd w:val="clear" w:color="000000" w:fill="FFC000"/>
            <w:vAlign w:val="center"/>
          </w:tcPr>
          <w:p w14:paraId="26AA73B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56" w:type="dxa"/>
            <w:tcBorders>
              <w:top w:val="nil"/>
              <w:left w:val="nil"/>
              <w:bottom w:val="single" w:sz="4" w:space="0" w:color="auto"/>
              <w:right w:val="single" w:sz="4" w:space="0" w:color="auto"/>
            </w:tcBorders>
            <w:shd w:val="clear" w:color="auto" w:fill="auto"/>
            <w:vAlign w:val="center"/>
          </w:tcPr>
          <w:p w14:paraId="74271956"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1715A6B9" w14:textId="77777777" w:rsidTr="00E06E22">
        <w:trPr>
          <w:trHeight w:val="600"/>
          <w:jc w:val="center"/>
        </w:trPr>
        <w:tc>
          <w:tcPr>
            <w:tcW w:w="5082" w:type="dxa"/>
            <w:tcBorders>
              <w:top w:val="nil"/>
              <w:left w:val="single" w:sz="4" w:space="0" w:color="auto"/>
              <w:bottom w:val="single" w:sz="4" w:space="0" w:color="auto"/>
              <w:right w:val="single" w:sz="4" w:space="0" w:color="auto"/>
            </w:tcBorders>
            <w:shd w:val="clear" w:color="auto" w:fill="auto"/>
            <w:vAlign w:val="center"/>
          </w:tcPr>
          <w:p w14:paraId="7F961F3B"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Copertura vaccinale esavalente a 24 mesi nei bambini - GRIGLIA LEA</w:t>
            </w:r>
          </w:p>
        </w:tc>
        <w:tc>
          <w:tcPr>
            <w:tcW w:w="580" w:type="dxa"/>
            <w:tcBorders>
              <w:top w:val="nil"/>
              <w:left w:val="nil"/>
              <w:bottom w:val="single" w:sz="4" w:space="0" w:color="auto"/>
              <w:right w:val="single" w:sz="4" w:space="0" w:color="auto"/>
            </w:tcBorders>
            <w:shd w:val="clear" w:color="auto" w:fill="auto"/>
            <w:vAlign w:val="center"/>
          </w:tcPr>
          <w:p w14:paraId="3D39135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92,2</w:t>
            </w:r>
          </w:p>
        </w:tc>
        <w:tc>
          <w:tcPr>
            <w:tcW w:w="1279" w:type="dxa"/>
            <w:tcBorders>
              <w:top w:val="nil"/>
              <w:left w:val="nil"/>
              <w:bottom w:val="single" w:sz="4" w:space="0" w:color="auto"/>
              <w:right w:val="single" w:sz="4" w:space="0" w:color="auto"/>
            </w:tcBorders>
            <w:shd w:val="clear" w:color="auto" w:fill="auto"/>
            <w:vAlign w:val="center"/>
          </w:tcPr>
          <w:p w14:paraId="51A8DD9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93,8</w:t>
            </w:r>
          </w:p>
        </w:tc>
        <w:tc>
          <w:tcPr>
            <w:tcW w:w="1484" w:type="dxa"/>
            <w:tcBorders>
              <w:top w:val="nil"/>
              <w:left w:val="nil"/>
              <w:bottom w:val="single" w:sz="4" w:space="0" w:color="auto"/>
              <w:right w:val="single" w:sz="4" w:space="0" w:color="auto"/>
            </w:tcBorders>
            <w:shd w:val="clear" w:color="auto" w:fill="auto"/>
            <w:vAlign w:val="center"/>
          </w:tcPr>
          <w:p w14:paraId="56496E3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92,65</w:t>
            </w:r>
          </w:p>
        </w:tc>
        <w:tc>
          <w:tcPr>
            <w:tcW w:w="1099" w:type="dxa"/>
            <w:tcBorders>
              <w:top w:val="nil"/>
              <w:left w:val="nil"/>
              <w:bottom w:val="single" w:sz="4" w:space="0" w:color="auto"/>
              <w:right w:val="single" w:sz="4" w:space="0" w:color="auto"/>
            </w:tcBorders>
            <w:shd w:val="clear" w:color="000000" w:fill="FFFF00"/>
            <w:vAlign w:val="center"/>
          </w:tcPr>
          <w:p w14:paraId="5A1588E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56" w:type="dxa"/>
            <w:tcBorders>
              <w:top w:val="nil"/>
              <w:left w:val="nil"/>
              <w:bottom w:val="single" w:sz="4" w:space="0" w:color="auto"/>
              <w:right w:val="single" w:sz="4" w:space="0" w:color="auto"/>
            </w:tcBorders>
            <w:shd w:val="clear" w:color="auto" w:fill="auto"/>
            <w:vAlign w:val="center"/>
          </w:tcPr>
          <w:p w14:paraId="0731A864"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6BC41AAC" w14:textId="77777777" w:rsidTr="00E06E22">
        <w:trPr>
          <w:trHeight w:val="420"/>
          <w:jc w:val="center"/>
        </w:trPr>
        <w:tc>
          <w:tcPr>
            <w:tcW w:w="5082" w:type="dxa"/>
            <w:tcBorders>
              <w:top w:val="nil"/>
              <w:left w:val="single" w:sz="4" w:space="0" w:color="auto"/>
              <w:bottom w:val="single" w:sz="4" w:space="0" w:color="auto"/>
              <w:right w:val="single" w:sz="4" w:space="0" w:color="auto"/>
            </w:tcBorders>
            <w:shd w:val="clear" w:color="auto" w:fill="auto"/>
            <w:vAlign w:val="center"/>
          </w:tcPr>
          <w:p w14:paraId="34A9C8FF"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aziende con dipendenti ispezionate - GRIGLIA LEA</w:t>
            </w:r>
          </w:p>
        </w:tc>
        <w:tc>
          <w:tcPr>
            <w:tcW w:w="580" w:type="dxa"/>
            <w:tcBorders>
              <w:top w:val="nil"/>
              <w:left w:val="nil"/>
              <w:bottom w:val="single" w:sz="4" w:space="0" w:color="auto"/>
              <w:right w:val="single" w:sz="4" w:space="0" w:color="auto"/>
            </w:tcBorders>
            <w:shd w:val="clear" w:color="auto" w:fill="auto"/>
            <w:vAlign w:val="center"/>
          </w:tcPr>
          <w:p w14:paraId="7090A48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9,84</w:t>
            </w:r>
          </w:p>
        </w:tc>
        <w:tc>
          <w:tcPr>
            <w:tcW w:w="1279" w:type="dxa"/>
            <w:tcBorders>
              <w:top w:val="nil"/>
              <w:left w:val="nil"/>
              <w:bottom w:val="single" w:sz="4" w:space="0" w:color="auto"/>
              <w:right w:val="single" w:sz="4" w:space="0" w:color="auto"/>
            </w:tcBorders>
            <w:shd w:val="clear" w:color="auto" w:fill="auto"/>
            <w:vAlign w:val="center"/>
          </w:tcPr>
          <w:p w14:paraId="7805546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10,01</w:t>
            </w:r>
          </w:p>
        </w:tc>
        <w:tc>
          <w:tcPr>
            <w:tcW w:w="1484" w:type="dxa"/>
            <w:tcBorders>
              <w:top w:val="nil"/>
              <w:left w:val="nil"/>
              <w:bottom w:val="single" w:sz="4" w:space="0" w:color="auto"/>
              <w:right w:val="single" w:sz="4" w:space="0" w:color="auto"/>
            </w:tcBorders>
            <w:shd w:val="clear" w:color="auto" w:fill="auto"/>
            <w:vAlign w:val="center"/>
          </w:tcPr>
          <w:p w14:paraId="7F836FB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10,14</w:t>
            </w:r>
          </w:p>
        </w:tc>
        <w:tc>
          <w:tcPr>
            <w:tcW w:w="1099" w:type="dxa"/>
            <w:tcBorders>
              <w:top w:val="nil"/>
              <w:left w:val="nil"/>
              <w:bottom w:val="single" w:sz="4" w:space="0" w:color="auto"/>
              <w:right w:val="single" w:sz="4" w:space="0" w:color="auto"/>
            </w:tcBorders>
            <w:shd w:val="clear" w:color="000000" w:fill="00B050"/>
            <w:vAlign w:val="center"/>
          </w:tcPr>
          <w:p w14:paraId="7062D01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56" w:type="dxa"/>
            <w:tcBorders>
              <w:top w:val="nil"/>
              <w:left w:val="nil"/>
              <w:bottom w:val="single" w:sz="4" w:space="0" w:color="auto"/>
              <w:right w:val="single" w:sz="4" w:space="0" w:color="auto"/>
            </w:tcBorders>
            <w:shd w:val="clear" w:color="auto" w:fill="auto"/>
            <w:vAlign w:val="center"/>
          </w:tcPr>
          <w:p w14:paraId="19D71818"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5713BEBB" w14:textId="77777777" w:rsidTr="00E06E22">
        <w:trPr>
          <w:trHeight w:val="600"/>
          <w:jc w:val="center"/>
        </w:trPr>
        <w:tc>
          <w:tcPr>
            <w:tcW w:w="5082" w:type="dxa"/>
            <w:tcBorders>
              <w:top w:val="nil"/>
              <w:left w:val="single" w:sz="4" w:space="0" w:color="auto"/>
              <w:bottom w:val="single" w:sz="4" w:space="0" w:color="auto"/>
              <w:right w:val="single" w:sz="4" w:space="0" w:color="auto"/>
            </w:tcBorders>
            <w:shd w:val="clear" w:color="auto" w:fill="auto"/>
            <w:vAlign w:val="center"/>
          </w:tcPr>
          <w:p w14:paraId="5D401D09"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Sorveglianza delle malattie infettive degli allevamenti</w:t>
            </w:r>
          </w:p>
        </w:tc>
        <w:tc>
          <w:tcPr>
            <w:tcW w:w="580" w:type="dxa"/>
            <w:tcBorders>
              <w:top w:val="nil"/>
              <w:left w:val="nil"/>
              <w:bottom w:val="single" w:sz="4" w:space="0" w:color="auto"/>
              <w:right w:val="single" w:sz="4" w:space="0" w:color="auto"/>
            </w:tcBorders>
            <w:shd w:val="clear" w:color="auto" w:fill="auto"/>
            <w:vAlign w:val="center"/>
          </w:tcPr>
          <w:p w14:paraId="7FA6D97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100</w:t>
            </w:r>
          </w:p>
        </w:tc>
        <w:tc>
          <w:tcPr>
            <w:tcW w:w="1279" w:type="dxa"/>
            <w:tcBorders>
              <w:top w:val="nil"/>
              <w:left w:val="nil"/>
              <w:bottom w:val="single" w:sz="4" w:space="0" w:color="auto"/>
              <w:right w:val="single" w:sz="4" w:space="0" w:color="auto"/>
            </w:tcBorders>
            <w:shd w:val="clear" w:color="auto" w:fill="auto"/>
            <w:vAlign w:val="center"/>
          </w:tcPr>
          <w:p w14:paraId="3EF21D2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96,42</w:t>
            </w:r>
          </w:p>
        </w:tc>
        <w:tc>
          <w:tcPr>
            <w:tcW w:w="1484" w:type="dxa"/>
            <w:tcBorders>
              <w:top w:val="nil"/>
              <w:left w:val="nil"/>
              <w:bottom w:val="single" w:sz="4" w:space="0" w:color="auto"/>
              <w:right w:val="single" w:sz="4" w:space="0" w:color="auto"/>
            </w:tcBorders>
            <w:shd w:val="clear" w:color="auto" w:fill="auto"/>
            <w:vAlign w:val="center"/>
          </w:tcPr>
          <w:p w14:paraId="6955102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99,43</w:t>
            </w:r>
          </w:p>
        </w:tc>
        <w:tc>
          <w:tcPr>
            <w:tcW w:w="1099" w:type="dxa"/>
            <w:tcBorders>
              <w:top w:val="nil"/>
              <w:left w:val="nil"/>
              <w:bottom w:val="single" w:sz="4" w:space="0" w:color="auto"/>
              <w:right w:val="single" w:sz="4" w:space="0" w:color="auto"/>
            </w:tcBorders>
            <w:shd w:val="clear" w:color="000000" w:fill="00B050"/>
            <w:vAlign w:val="center"/>
          </w:tcPr>
          <w:p w14:paraId="7F59575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956" w:type="dxa"/>
            <w:tcBorders>
              <w:top w:val="nil"/>
              <w:left w:val="nil"/>
              <w:bottom w:val="single" w:sz="4" w:space="0" w:color="auto"/>
              <w:right w:val="single" w:sz="4" w:space="0" w:color="auto"/>
            </w:tcBorders>
            <w:shd w:val="clear" w:color="auto" w:fill="auto"/>
            <w:vAlign w:val="center"/>
          </w:tcPr>
          <w:p w14:paraId="2179C1FD"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bl>
    <w:p w14:paraId="2B88F223" w14:textId="77777777" w:rsidR="00E27519" w:rsidRDefault="0003178C">
      <w:pPr>
        <w:ind w:right="284"/>
        <w:jc w:val="both"/>
        <w:rPr>
          <w:rFonts w:asciiTheme="minorHAnsi" w:eastAsia="Calibri" w:hAnsiTheme="minorHAnsi"/>
          <w:sz w:val="16"/>
          <w:lang w:eastAsia="en-US"/>
        </w:rPr>
      </w:pPr>
      <w:r>
        <w:rPr>
          <w:rFonts w:eastAsia="Calibri"/>
          <w:sz w:val="16"/>
          <w:lang w:eastAsia="en-US"/>
        </w:rPr>
        <w:t xml:space="preserve">Fonte: Regione Emilia Romagna, SIVER, 2016. </w:t>
      </w:r>
      <w:hyperlink r:id="rId32" w:history="1">
        <w:r>
          <w:rPr>
            <w:rStyle w:val="Collegamentoipertestuale"/>
            <w:rFonts w:eastAsia="Calibri"/>
            <w:sz w:val="16"/>
            <w:lang w:eastAsia="en-US"/>
          </w:rPr>
          <w:t>http://salute.regione.emilia-romagna.it/siseps/siver</w:t>
        </w:r>
      </w:hyperlink>
      <w:r>
        <w:rPr>
          <w:rFonts w:eastAsia="Calibri"/>
          <w:sz w:val="16"/>
          <w:lang w:eastAsia="en-US"/>
        </w:rPr>
        <w:t xml:space="preserve">. </w:t>
      </w:r>
    </w:p>
    <w:p w14:paraId="3FBDF943" w14:textId="77777777" w:rsidR="00E27519" w:rsidRDefault="00E27519">
      <w:pPr>
        <w:spacing w:after="120"/>
        <w:contextualSpacing/>
        <w:jc w:val="both"/>
        <w:rPr>
          <w:rFonts w:eastAsia="Calibri"/>
          <w:sz w:val="20"/>
          <w:highlight w:val="green"/>
          <w:lang w:eastAsia="en-US"/>
        </w:rPr>
      </w:pPr>
    </w:p>
    <w:p w14:paraId="7610634B" w14:textId="77777777" w:rsidR="00E27519" w:rsidRDefault="0003178C">
      <w:pPr>
        <w:spacing w:after="120"/>
        <w:contextualSpacing/>
        <w:jc w:val="both"/>
        <w:rPr>
          <w:rFonts w:eastAsia="Calibri"/>
          <w:sz w:val="20"/>
          <w:lang w:eastAsia="en-US"/>
        </w:rPr>
      </w:pPr>
      <w:r>
        <w:rPr>
          <w:rFonts w:eastAsia="Calibri"/>
          <w:sz w:val="20"/>
          <w:lang w:eastAsia="en-US"/>
        </w:rPr>
        <w:t>La dimensione della Produzione-Prevenzione mostra un andamento dell’Azienda USL di Modena buono e ottimo in alcuni indicatori, con invece un valore scarso (arancione) sulla Copertura vaccinale antinfluenzale negli anziani - GRIGLIA LEA (MO 54,96 – RER 53,04) e un valore medio (giallo) relativamente a:</w:t>
      </w:r>
    </w:p>
    <w:p w14:paraId="6DBE19EC" w14:textId="77777777" w:rsidR="00E27519" w:rsidRDefault="0003178C">
      <w:pPr>
        <w:pStyle w:val="Paragrafoelenco2"/>
        <w:numPr>
          <w:ilvl w:val="0"/>
          <w:numId w:val="31"/>
        </w:numPr>
        <w:spacing w:after="120"/>
        <w:jc w:val="both"/>
        <w:rPr>
          <w:rFonts w:eastAsia="Calibri"/>
          <w:lang w:eastAsia="en-US"/>
        </w:rPr>
      </w:pPr>
      <w:r>
        <w:rPr>
          <w:rFonts w:asciiTheme="minorHAnsi" w:eastAsia="Calibri" w:hAnsiTheme="minorHAnsi"/>
          <w:lang w:eastAsia="en-US"/>
        </w:rPr>
        <w:t>% di fumatori consigliati dal medico o altro operatore sanitario di smettere di fumare (MO 49,3 – RER 48,4);</w:t>
      </w:r>
    </w:p>
    <w:p w14:paraId="30F55F4F" w14:textId="77777777" w:rsidR="00E27519" w:rsidRDefault="0003178C">
      <w:pPr>
        <w:pStyle w:val="Paragrafoelenco2"/>
        <w:numPr>
          <w:ilvl w:val="0"/>
          <w:numId w:val="31"/>
        </w:numPr>
        <w:spacing w:after="120"/>
        <w:jc w:val="both"/>
        <w:rPr>
          <w:rFonts w:asciiTheme="minorHAnsi" w:eastAsia="Calibri" w:hAnsiTheme="minorHAnsi"/>
          <w:lang w:eastAsia="en-US"/>
        </w:rPr>
      </w:pPr>
      <w:r>
        <w:rPr>
          <w:rFonts w:asciiTheme="minorHAnsi" w:eastAsia="Calibri" w:hAnsiTheme="minorHAnsi"/>
          <w:lang w:eastAsia="en-US"/>
        </w:rPr>
        <w:t xml:space="preserve">% di persone che hanno partecipato allo screening </w:t>
      </w:r>
      <w:proofErr w:type="spellStart"/>
      <w:r>
        <w:rPr>
          <w:rFonts w:asciiTheme="minorHAnsi" w:eastAsia="Calibri" w:hAnsiTheme="minorHAnsi"/>
          <w:lang w:eastAsia="en-US"/>
        </w:rPr>
        <w:t>colonrettale</w:t>
      </w:r>
      <w:proofErr w:type="spellEnd"/>
      <w:r>
        <w:rPr>
          <w:rFonts w:asciiTheme="minorHAnsi" w:eastAsia="Calibri" w:hAnsiTheme="minorHAnsi"/>
          <w:lang w:eastAsia="en-US"/>
        </w:rPr>
        <w:t xml:space="preserve"> rispetto alle persone invitate (MO 45,64 – RER 49,21);</w:t>
      </w:r>
    </w:p>
    <w:p w14:paraId="505614D1" w14:textId="77777777" w:rsidR="00E27519" w:rsidRDefault="0003178C">
      <w:pPr>
        <w:pStyle w:val="Paragrafoelenco2"/>
        <w:numPr>
          <w:ilvl w:val="0"/>
          <w:numId w:val="31"/>
        </w:numPr>
        <w:spacing w:after="120"/>
        <w:jc w:val="both"/>
        <w:rPr>
          <w:rFonts w:asciiTheme="minorHAnsi" w:eastAsia="Calibri" w:hAnsiTheme="minorHAnsi"/>
          <w:lang w:eastAsia="en-US"/>
        </w:rPr>
      </w:pPr>
      <w:r>
        <w:rPr>
          <w:rFonts w:asciiTheme="minorHAnsi" w:eastAsia="Calibri" w:hAnsiTheme="minorHAnsi"/>
          <w:lang w:eastAsia="en-US"/>
        </w:rPr>
        <w:t>Copertura vaccinale esavalente a 24 mesi nei bambini - GRIGLIA LEA (MO 92,65 – RER 92,23).</w:t>
      </w:r>
    </w:p>
    <w:p w14:paraId="11697BD5" w14:textId="77777777" w:rsidR="00E27519" w:rsidRDefault="0003178C">
      <w:pPr>
        <w:spacing w:after="120"/>
        <w:jc w:val="both"/>
        <w:rPr>
          <w:rFonts w:asciiTheme="minorHAnsi" w:eastAsia="Calibri" w:hAnsiTheme="minorHAnsi"/>
          <w:sz w:val="20"/>
          <w:lang w:eastAsia="en-US"/>
        </w:rPr>
      </w:pPr>
      <w:r>
        <w:rPr>
          <w:rFonts w:asciiTheme="minorHAnsi" w:eastAsia="Calibri" w:hAnsiTheme="minorHAnsi"/>
          <w:sz w:val="20"/>
          <w:lang w:eastAsia="en-US"/>
        </w:rPr>
        <w:t>I dati sulla copertura vaccinale, anche se superiori alla media regionale, non raggiungono mediamente il target del 95%.</w:t>
      </w:r>
    </w:p>
    <w:p w14:paraId="16C04F0E" w14:textId="77777777" w:rsidR="00E27519" w:rsidRDefault="00E27519">
      <w:pPr>
        <w:spacing w:after="120"/>
        <w:contextualSpacing/>
        <w:jc w:val="both"/>
        <w:rPr>
          <w:rFonts w:eastAsia="Calibri"/>
          <w:sz w:val="20"/>
          <w:lang w:eastAsia="en-US"/>
        </w:rPr>
      </w:pPr>
    </w:p>
    <w:p w14:paraId="6AA59A29" w14:textId="77777777" w:rsidR="00E27519" w:rsidRDefault="0003178C">
      <w:pPr>
        <w:spacing w:after="120"/>
        <w:contextualSpacing/>
        <w:jc w:val="both"/>
        <w:rPr>
          <w:rFonts w:eastAsia="Calibri"/>
          <w:sz w:val="20"/>
          <w:lang w:eastAsia="en-US"/>
        </w:rPr>
      </w:pPr>
      <w:r>
        <w:rPr>
          <w:rFonts w:eastAsia="Calibri"/>
          <w:sz w:val="20"/>
          <w:lang w:eastAsia="en-US"/>
        </w:rPr>
        <w:t>Appropriatezza, Qualità, Sicurezza e Rischio Clinico</w:t>
      </w:r>
    </w:p>
    <w:tbl>
      <w:tblPr>
        <w:tblW w:w="10520" w:type="dxa"/>
        <w:jc w:val="center"/>
        <w:tblLayout w:type="fixed"/>
        <w:tblCellMar>
          <w:left w:w="70" w:type="dxa"/>
          <w:right w:w="70" w:type="dxa"/>
        </w:tblCellMar>
        <w:tblLook w:val="04A0" w:firstRow="1" w:lastRow="0" w:firstColumn="1" w:lastColumn="0" w:noHBand="0" w:noVBand="1"/>
      </w:tblPr>
      <w:tblGrid>
        <w:gridCol w:w="5319"/>
        <w:gridCol w:w="699"/>
        <w:gridCol w:w="1207"/>
        <w:gridCol w:w="1556"/>
        <w:gridCol w:w="1099"/>
        <w:gridCol w:w="640"/>
      </w:tblGrid>
      <w:tr w:rsidR="00E27519" w14:paraId="3C4EBA14" w14:textId="77777777" w:rsidTr="00E06E22">
        <w:trPr>
          <w:trHeight w:val="600"/>
          <w:jc w:val="center"/>
        </w:trPr>
        <w:tc>
          <w:tcPr>
            <w:tcW w:w="5319" w:type="dxa"/>
            <w:tcBorders>
              <w:top w:val="single" w:sz="4" w:space="0" w:color="auto"/>
              <w:left w:val="single" w:sz="4" w:space="0" w:color="auto"/>
              <w:bottom w:val="single" w:sz="4" w:space="0" w:color="auto"/>
              <w:right w:val="single" w:sz="4" w:space="0" w:color="auto"/>
            </w:tcBorders>
            <w:shd w:val="clear" w:color="auto" w:fill="auto"/>
            <w:vAlign w:val="center"/>
          </w:tcPr>
          <w:p w14:paraId="6E17FB1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Indicatore</w:t>
            </w:r>
          </w:p>
        </w:tc>
        <w:tc>
          <w:tcPr>
            <w:tcW w:w="699" w:type="dxa"/>
            <w:tcBorders>
              <w:top w:val="single" w:sz="2" w:space="0" w:color="auto"/>
              <w:left w:val="nil"/>
              <w:bottom w:val="single" w:sz="2" w:space="0" w:color="auto"/>
              <w:right w:val="single" w:sz="2" w:space="0" w:color="auto"/>
            </w:tcBorders>
            <w:shd w:val="clear" w:color="auto" w:fill="auto"/>
            <w:vAlign w:val="center"/>
          </w:tcPr>
          <w:p w14:paraId="2907DC2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2D94716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207" w:type="dxa"/>
            <w:tcBorders>
              <w:top w:val="single" w:sz="4" w:space="0" w:color="auto"/>
              <w:left w:val="nil"/>
              <w:bottom w:val="single" w:sz="4" w:space="0" w:color="auto"/>
              <w:right w:val="single" w:sz="4" w:space="0" w:color="auto"/>
            </w:tcBorders>
            <w:shd w:val="clear" w:color="auto" w:fill="auto"/>
            <w:vAlign w:val="center"/>
          </w:tcPr>
          <w:p w14:paraId="32CF0B4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1556" w:type="dxa"/>
            <w:tcBorders>
              <w:top w:val="single" w:sz="4" w:space="0" w:color="auto"/>
              <w:left w:val="nil"/>
              <w:bottom w:val="single" w:sz="4" w:space="0" w:color="auto"/>
              <w:right w:val="single" w:sz="4" w:space="0" w:color="auto"/>
            </w:tcBorders>
            <w:shd w:val="clear" w:color="auto" w:fill="auto"/>
            <w:vAlign w:val="center"/>
          </w:tcPr>
          <w:p w14:paraId="4BEF951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4137F42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99" w:type="dxa"/>
            <w:tcBorders>
              <w:top w:val="single" w:sz="4" w:space="0" w:color="auto"/>
              <w:left w:val="nil"/>
              <w:bottom w:val="single" w:sz="4" w:space="0" w:color="auto"/>
              <w:right w:val="single" w:sz="4" w:space="0" w:color="auto"/>
            </w:tcBorders>
            <w:shd w:val="clear" w:color="auto" w:fill="auto"/>
            <w:vAlign w:val="center"/>
          </w:tcPr>
          <w:p w14:paraId="1A9DDFE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35A4283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640" w:type="dxa"/>
            <w:tcBorders>
              <w:top w:val="single" w:sz="4" w:space="0" w:color="auto"/>
              <w:left w:val="nil"/>
              <w:bottom w:val="single" w:sz="4" w:space="0" w:color="auto"/>
              <w:right w:val="single" w:sz="4" w:space="0" w:color="auto"/>
            </w:tcBorders>
            <w:shd w:val="clear" w:color="auto" w:fill="auto"/>
            <w:vAlign w:val="center"/>
          </w:tcPr>
          <w:p w14:paraId="75A7AAC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3E4C8621" w14:textId="77777777" w:rsidTr="00E06E22">
        <w:trPr>
          <w:trHeight w:val="600"/>
          <w:jc w:val="center"/>
        </w:trPr>
        <w:tc>
          <w:tcPr>
            <w:tcW w:w="5319" w:type="dxa"/>
            <w:tcBorders>
              <w:top w:val="nil"/>
              <w:left w:val="single" w:sz="4" w:space="0" w:color="auto"/>
              <w:bottom w:val="single" w:sz="4" w:space="0" w:color="auto"/>
              <w:right w:val="single" w:sz="4" w:space="0" w:color="auto"/>
            </w:tcBorders>
            <w:shd w:val="clear" w:color="auto" w:fill="auto"/>
            <w:vAlign w:val="center"/>
          </w:tcPr>
          <w:p w14:paraId="334576CB"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Tasso di ospedalizzazione per ricoveri ordinari medici brevi x 1.000 residenti</w:t>
            </w:r>
          </w:p>
        </w:tc>
        <w:tc>
          <w:tcPr>
            <w:tcW w:w="699" w:type="dxa"/>
            <w:tcBorders>
              <w:top w:val="nil"/>
              <w:left w:val="nil"/>
              <w:bottom w:val="single" w:sz="4" w:space="0" w:color="auto"/>
              <w:right w:val="single" w:sz="4" w:space="0" w:color="auto"/>
            </w:tcBorders>
            <w:shd w:val="clear" w:color="auto" w:fill="auto"/>
            <w:vAlign w:val="center"/>
          </w:tcPr>
          <w:p w14:paraId="0AEB284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9,86</w:t>
            </w:r>
          </w:p>
        </w:tc>
        <w:tc>
          <w:tcPr>
            <w:tcW w:w="1207" w:type="dxa"/>
            <w:tcBorders>
              <w:top w:val="nil"/>
              <w:left w:val="nil"/>
              <w:bottom w:val="single" w:sz="4" w:space="0" w:color="auto"/>
              <w:right w:val="single" w:sz="4" w:space="0" w:color="auto"/>
            </w:tcBorders>
            <w:shd w:val="clear" w:color="auto" w:fill="auto"/>
            <w:vAlign w:val="center"/>
          </w:tcPr>
          <w:p w14:paraId="7A761B0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9,04</w:t>
            </w:r>
          </w:p>
        </w:tc>
        <w:tc>
          <w:tcPr>
            <w:tcW w:w="1556" w:type="dxa"/>
            <w:tcBorders>
              <w:top w:val="nil"/>
              <w:left w:val="nil"/>
              <w:bottom w:val="single" w:sz="4" w:space="0" w:color="auto"/>
              <w:right w:val="single" w:sz="4" w:space="0" w:color="auto"/>
            </w:tcBorders>
            <w:shd w:val="clear" w:color="auto" w:fill="auto"/>
            <w:vAlign w:val="center"/>
          </w:tcPr>
          <w:p w14:paraId="1FF74AC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8,72</w:t>
            </w:r>
          </w:p>
        </w:tc>
        <w:tc>
          <w:tcPr>
            <w:tcW w:w="1099" w:type="dxa"/>
            <w:tcBorders>
              <w:top w:val="nil"/>
              <w:left w:val="nil"/>
              <w:bottom w:val="single" w:sz="4" w:space="0" w:color="auto"/>
              <w:right w:val="single" w:sz="4" w:space="0" w:color="auto"/>
            </w:tcBorders>
            <w:shd w:val="clear" w:color="000000" w:fill="0070C0"/>
            <w:vAlign w:val="center"/>
          </w:tcPr>
          <w:p w14:paraId="6CFBDA4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14F2B669"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0A4C5024" w14:textId="77777777" w:rsidTr="00E06E22">
        <w:trPr>
          <w:trHeight w:val="600"/>
          <w:jc w:val="center"/>
        </w:trPr>
        <w:tc>
          <w:tcPr>
            <w:tcW w:w="5319" w:type="dxa"/>
            <w:tcBorders>
              <w:top w:val="nil"/>
              <w:left w:val="single" w:sz="4" w:space="0" w:color="auto"/>
              <w:bottom w:val="single" w:sz="4" w:space="0" w:color="auto"/>
              <w:right w:val="single" w:sz="4" w:space="0" w:color="auto"/>
            </w:tcBorders>
            <w:shd w:val="clear" w:color="auto" w:fill="auto"/>
            <w:vAlign w:val="center"/>
          </w:tcPr>
          <w:p w14:paraId="18C26B5E"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Indice di sepsi x 1.000 pazienti con intervento chirurgico programmato</w:t>
            </w:r>
          </w:p>
        </w:tc>
        <w:tc>
          <w:tcPr>
            <w:tcW w:w="699" w:type="dxa"/>
            <w:tcBorders>
              <w:top w:val="nil"/>
              <w:left w:val="nil"/>
              <w:bottom w:val="single" w:sz="4" w:space="0" w:color="auto"/>
              <w:right w:val="single" w:sz="4" w:space="0" w:color="auto"/>
            </w:tcBorders>
            <w:shd w:val="clear" w:color="auto" w:fill="auto"/>
            <w:vAlign w:val="center"/>
          </w:tcPr>
          <w:p w14:paraId="759DC4A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4,03</w:t>
            </w:r>
          </w:p>
        </w:tc>
        <w:tc>
          <w:tcPr>
            <w:tcW w:w="1207" w:type="dxa"/>
            <w:tcBorders>
              <w:top w:val="nil"/>
              <w:left w:val="nil"/>
              <w:bottom w:val="single" w:sz="4" w:space="0" w:color="auto"/>
              <w:right w:val="single" w:sz="4" w:space="0" w:color="auto"/>
            </w:tcBorders>
            <w:shd w:val="clear" w:color="auto" w:fill="auto"/>
            <w:vAlign w:val="center"/>
          </w:tcPr>
          <w:p w14:paraId="408DE36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5,83</w:t>
            </w:r>
          </w:p>
        </w:tc>
        <w:tc>
          <w:tcPr>
            <w:tcW w:w="1556" w:type="dxa"/>
            <w:tcBorders>
              <w:top w:val="nil"/>
              <w:left w:val="nil"/>
              <w:bottom w:val="single" w:sz="4" w:space="0" w:color="auto"/>
              <w:right w:val="single" w:sz="4" w:space="0" w:color="auto"/>
            </w:tcBorders>
            <w:shd w:val="clear" w:color="auto" w:fill="auto"/>
            <w:vAlign w:val="center"/>
          </w:tcPr>
          <w:p w14:paraId="1E5AC59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7,46</w:t>
            </w:r>
          </w:p>
        </w:tc>
        <w:tc>
          <w:tcPr>
            <w:tcW w:w="1099" w:type="dxa"/>
            <w:tcBorders>
              <w:top w:val="nil"/>
              <w:left w:val="nil"/>
              <w:bottom w:val="single" w:sz="4" w:space="0" w:color="auto"/>
              <w:right w:val="single" w:sz="4" w:space="0" w:color="auto"/>
            </w:tcBorders>
            <w:shd w:val="clear" w:color="000000" w:fill="0070C0"/>
            <w:vAlign w:val="center"/>
          </w:tcPr>
          <w:p w14:paraId="1B5BB29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27DDFD54"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71C16132" w14:textId="77777777" w:rsidTr="00E06E22">
        <w:trPr>
          <w:trHeight w:val="600"/>
          <w:jc w:val="center"/>
        </w:trPr>
        <w:tc>
          <w:tcPr>
            <w:tcW w:w="5319" w:type="dxa"/>
            <w:tcBorders>
              <w:top w:val="nil"/>
              <w:left w:val="single" w:sz="4" w:space="0" w:color="auto"/>
              <w:bottom w:val="single" w:sz="4" w:space="0" w:color="auto"/>
              <w:right w:val="single" w:sz="4" w:space="0" w:color="auto"/>
            </w:tcBorders>
            <w:shd w:val="clear" w:color="auto" w:fill="auto"/>
            <w:vAlign w:val="center"/>
          </w:tcPr>
          <w:p w14:paraId="2CAB39A4"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Casi di trombosi venosa profonda o embolia polmonare x 1.000 dimessi con DRG chirurgico</w:t>
            </w:r>
          </w:p>
        </w:tc>
        <w:tc>
          <w:tcPr>
            <w:tcW w:w="699" w:type="dxa"/>
            <w:tcBorders>
              <w:top w:val="nil"/>
              <w:left w:val="nil"/>
              <w:bottom w:val="single" w:sz="4" w:space="0" w:color="auto"/>
              <w:right w:val="single" w:sz="4" w:space="0" w:color="auto"/>
            </w:tcBorders>
            <w:shd w:val="clear" w:color="auto" w:fill="auto"/>
            <w:vAlign w:val="center"/>
          </w:tcPr>
          <w:p w14:paraId="3FCF03C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2,5</w:t>
            </w:r>
          </w:p>
        </w:tc>
        <w:tc>
          <w:tcPr>
            <w:tcW w:w="1207" w:type="dxa"/>
            <w:tcBorders>
              <w:top w:val="nil"/>
              <w:left w:val="nil"/>
              <w:bottom w:val="single" w:sz="4" w:space="0" w:color="auto"/>
              <w:right w:val="single" w:sz="4" w:space="0" w:color="auto"/>
            </w:tcBorders>
            <w:shd w:val="clear" w:color="auto" w:fill="auto"/>
            <w:vAlign w:val="center"/>
          </w:tcPr>
          <w:p w14:paraId="03D0897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2,95</w:t>
            </w:r>
          </w:p>
        </w:tc>
        <w:tc>
          <w:tcPr>
            <w:tcW w:w="1556" w:type="dxa"/>
            <w:tcBorders>
              <w:top w:val="nil"/>
              <w:left w:val="nil"/>
              <w:bottom w:val="single" w:sz="4" w:space="0" w:color="auto"/>
              <w:right w:val="single" w:sz="4" w:space="0" w:color="auto"/>
            </w:tcBorders>
            <w:shd w:val="clear" w:color="auto" w:fill="auto"/>
            <w:vAlign w:val="center"/>
          </w:tcPr>
          <w:p w14:paraId="7235649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3,42</w:t>
            </w:r>
          </w:p>
        </w:tc>
        <w:tc>
          <w:tcPr>
            <w:tcW w:w="1099" w:type="dxa"/>
            <w:tcBorders>
              <w:top w:val="nil"/>
              <w:left w:val="nil"/>
              <w:bottom w:val="single" w:sz="4" w:space="0" w:color="auto"/>
              <w:right w:val="single" w:sz="4" w:space="0" w:color="auto"/>
            </w:tcBorders>
            <w:shd w:val="clear" w:color="000000" w:fill="0070C0"/>
            <w:vAlign w:val="center"/>
          </w:tcPr>
          <w:p w14:paraId="05615CC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03305F37"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57BD1973" w14:textId="77777777" w:rsidTr="00E06E22">
        <w:trPr>
          <w:trHeight w:val="600"/>
          <w:jc w:val="center"/>
        </w:trPr>
        <w:tc>
          <w:tcPr>
            <w:tcW w:w="5319" w:type="dxa"/>
            <w:tcBorders>
              <w:top w:val="nil"/>
              <w:left w:val="single" w:sz="4" w:space="0" w:color="auto"/>
              <w:bottom w:val="single" w:sz="4" w:space="0" w:color="auto"/>
              <w:right w:val="single" w:sz="4" w:space="0" w:color="auto"/>
            </w:tcBorders>
            <w:shd w:val="clear" w:color="auto" w:fill="auto"/>
            <w:vAlign w:val="center"/>
          </w:tcPr>
          <w:p w14:paraId="22BABF6B"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colecistectomie laparoscopiche in Day-</w:t>
            </w:r>
            <w:proofErr w:type="spellStart"/>
            <w:r>
              <w:rPr>
                <w:rFonts w:asciiTheme="minorHAnsi" w:hAnsiTheme="minorHAnsi" w:cs="Times New Roman"/>
                <w:color w:val="000000"/>
                <w:sz w:val="20"/>
                <w:lang w:eastAsia="it-IT" w:bidi="ar-SA"/>
              </w:rPr>
              <w:t>Surgery</w:t>
            </w:r>
            <w:proofErr w:type="spellEnd"/>
            <w:r>
              <w:rPr>
                <w:rFonts w:asciiTheme="minorHAnsi" w:hAnsiTheme="minorHAnsi" w:cs="Times New Roman"/>
                <w:color w:val="000000"/>
                <w:sz w:val="20"/>
                <w:lang w:eastAsia="it-IT" w:bidi="ar-SA"/>
              </w:rPr>
              <w:t xml:space="preserve"> o ricovero ordinario 0-1 giorno</w:t>
            </w:r>
          </w:p>
        </w:tc>
        <w:tc>
          <w:tcPr>
            <w:tcW w:w="699" w:type="dxa"/>
            <w:tcBorders>
              <w:top w:val="nil"/>
              <w:left w:val="nil"/>
              <w:bottom w:val="single" w:sz="4" w:space="0" w:color="auto"/>
              <w:right w:val="single" w:sz="4" w:space="0" w:color="auto"/>
            </w:tcBorders>
            <w:shd w:val="clear" w:color="auto" w:fill="auto"/>
            <w:vAlign w:val="center"/>
          </w:tcPr>
          <w:p w14:paraId="714E26D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39,8</w:t>
            </w:r>
          </w:p>
        </w:tc>
        <w:tc>
          <w:tcPr>
            <w:tcW w:w="1207" w:type="dxa"/>
            <w:tcBorders>
              <w:top w:val="nil"/>
              <w:left w:val="nil"/>
              <w:bottom w:val="single" w:sz="4" w:space="0" w:color="auto"/>
              <w:right w:val="single" w:sz="4" w:space="0" w:color="auto"/>
            </w:tcBorders>
            <w:shd w:val="clear" w:color="auto" w:fill="auto"/>
            <w:vAlign w:val="center"/>
          </w:tcPr>
          <w:p w14:paraId="5E34DE1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18,71</w:t>
            </w:r>
          </w:p>
        </w:tc>
        <w:tc>
          <w:tcPr>
            <w:tcW w:w="1556" w:type="dxa"/>
            <w:tcBorders>
              <w:top w:val="nil"/>
              <w:left w:val="nil"/>
              <w:bottom w:val="single" w:sz="4" w:space="0" w:color="auto"/>
              <w:right w:val="single" w:sz="4" w:space="0" w:color="auto"/>
            </w:tcBorders>
            <w:shd w:val="clear" w:color="auto" w:fill="auto"/>
            <w:vAlign w:val="center"/>
          </w:tcPr>
          <w:p w14:paraId="2D383BF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27,67</w:t>
            </w:r>
          </w:p>
        </w:tc>
        <w:tc>
          <w:tcPr>
            <w:tcW w:w="1099" w:type="dxa"/>
            <w:tcBorders>
              <w:top w:val="nil"/>
              <w:left w:val="nil"/>
              <w:bottom w:val="single" w:sz="4" w:space="0" w:color="auto"/>
              <w:right w:val="single" w:sz="4" w:space="0" w:color="auto"/>
            </w:tcBorders>
            <w:shd w:val="clear" w:color="000000" w:fill="0070C0"/>
            <w:vAlign w:val="center"/>
          </w:tcPr>
          <w:p w14:paraId="6161745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72B9AA09"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1AC68869" w14:textId="77777777" w:rsidTr="00E06E22">
        <w:trPr>
          <w:trHeight w:val="420"/>
          <w:jc w:val="center"/>
        </w:trPr>
        <w:tc>
          <w:tcPr>
            <w:tcW w:w="5319" w:type="dxa"/>
            <w:tcBorders>
              <w:top w:val="nil"/>
              <w:left w:val="single" w:sz="4" w:space="0" w:color="auto"/>
              <w:bottom w:val="single" w:sz="4" w:space="0" w:color="auto"/>
              <w:right w:val="single" w:sz="4" w:space="0" w:color="auto"/>
            </w:tcBorders>
            <w:shd w:val="clear" w:color="auto" w:fill="auto"/>
            <w:vAlign w:val="center"/>
          </w:tcPr>
          <w:p w14:paraId="0C862620"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ricoveri in Day-</w:t>
            </w:r>
            <w:proofErr w:type="spellStart"/>
            <w:r>
              <w:rPr>
                <w:rFonts w:asciiTheme="minorHAnsi" w:hAnsiTheme="minorHAnsi" w:cs="Times New Roman"/>
                <w:color w:val="000000"/>
                <w:sz w:val="20"/>
                <w:lang w:eastAsia="it-IT" w:bidi="ar-SA"/>
              </w:rPr>
              <w:t>Surgery</w:t>
            </w:r>
            <w:proofErr w:type="spellEnd"/>
            <w:r>
              <w:rPr>
                <w:rFonts w:asciiTheme="minorHAnsi" w:hAnsiTheme="minorHAnsi" w:cs="Times New Roman"/>
                <w:color w:val="000000"/>
                <w:sz w:val="20"/>
                <w:lang w:eastAsia="it-IT" w:bidi="ar-SA"/>
              </w:rPr>
              <w:t xml:space="preserve"> per i DRG LEA Chirurgici</w:t>
            </w:r>
          </w:p>
        </w:tc>
        <w:tc>
          <w:tcPr>
            <w:tcW w:w="699" w:type="dxa"/>
            <w:tcBorders>
              <w:top w:val="nil"/>
              <w:left w:val="nil"/>
              <w:bottom w:val="single" w:sz="4" w:space="0" w:color="auto"/>
              <w:right w:val="single" w:sz="4" w:space="0" w:color="auto"/>
            </w:tcBorders>
            <w:shd w:val="clear" w:color="auto" w:fill="auto"/>
            <w:vAlign w:val="center"/>
          </w:tcPr>
          <w:p w14:paraId="117148D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50,09</w:t>
            </w:r>
          </w:p>
        </w:tc>
        <w:tc>
          <w:tcPr>
            <w:tcW w:w="1207" w:type="dxa"/>
            <w:tcBorders>
              <w:top w:val="nil"/>
              <w:left w:val="nil"/>
              <w:bottom w:val="single" w:sz="4" w:space="0" w:color="auto"/>
              <w:right w:val="single" w:sz="4" w:space="0" w:color="auto"/>
            </w:tcBorders>
            <w:shd w:val="clear" w:color="auto" w:fill="auto"/>
            <w:vAlign w:val="center"/>
          </w:tcPr>
          <w:p w14:paraId="4203D77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51,78</w:t>
            </w:r>
          </w:p>
        </w:tc>
        <w:tc>
          <w:tcPr>
            <w:tcW w:w="1556" w:type="dxa"/>
            <w:tcBorders>
              <w:top w:val="nil"/>
              <w:left w:val="nil"/>
              <w:bottom w:val="single" w:sz="4" w:space="0" w:color="auto"/>
              <w:right w:val="single" w:sz="4" w:space="0" w:color="auto"/>
            </w:tcBorders>
            <w:shd w:val="clear" w:color="auto" w:fill="auto"/>
            <w:vAlign w:val="center"/>
          </w:tcPr>
          <w:p w14:paraId="286EB48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55,05</w:t>
            </w:r>
          </w:p>
        </w:tc>
        <w:tc>
          <w:tcPr>
            <w:tcW w:w="1099" w:type="dxa"/>
            <w:tcBorders>
              <w:top w:val="nil"/>
              <w:left w:val="nil"/>
              <w:bottom w:val="single" w:sz="4" w:space="0" w:color="auto"/>
              <w:right w:val="single" w:sz="4" w:space="0" w:color="auto"/>
            </w:tcBorders>
            <w:shd w:val="clear" w:color="000000" w:fill="92D050"/>
            <w:vAlign w:val="center"/>
          </w:tcPr>
          <w:p w14:paraId="3A10318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1A49C2E5"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23C52670" w14:textId="77777777" w:rsidTr="00E06E22">
        <w:trPr>
          <w:trHeight w:val="600"/>
          <w:jc w:val="center"/>
        </w:trPr>
        <w:tc>
          <w:tcPr>
            <w:tcW w:w="5319" w:type="dxa"/>
            <w:tcBorders>
              <w:top w:val="nil"/>
              <w:left w:val="single" w:sz="4" w:space="0" w:color="auto"/>
              <w:bottom w:val="single" w:sz="4" w:space="0" w:color="auto"/>
              <w:right w:val="single" w:sz="4" w:space="0" w:color="auto"/>
            </w:tcBorders>
            <w:shd w:val="clear" w:color="auto" w:fill="auto"/>
            <w:vAlign w:val="center"/>
          </w:tcPr>
          <w:p w14:paraId="4D6BE6FB"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Numero prestazioni specialistiche ambulatoriali di Risonanza Magnetica (RM) x 100 residenti - GRIGLIA LEA</w:t>
            </w:r>
          </w:p>
        </w:tc>
        <w:tc>
          <w:tcPr>
            <w:tcW w:w="699" w:type="dxa"/>
            <w:tcBorders>
              <w:top w:val="nil"/>
              <w:left w:val="nil"/>
              <w:bottom w:val="single" w:sz="4" w:space="0" w:color="auto"/>
              <w:right w:val="single" w:sz="4" w:space="0" w:color="auto"/>
            </w:tcBorders>
            <w:shd w:val="clear" w:color="auto" w:fill="auto"/>
            <w:vAlign w:val="center"/>
          </w:tcPr>
          <w:p w14:paraId="3F8905E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6,53</w:t>
            </w:r>
          </w:p>
        </w:tc>
        <w:tc>
          <w:tcPr>
            <w:tcW w:w="1207" w:type="dxa"/>
            <w:tcBorders>
              <w:top w:val="nil"/>
              <w:left w:val="nil"/>
              <w:bottom w:val="single" w:sz="4" w:space="0" w:color="auto"/>
              <w:right w:val="single" w:sz="4" w:space="0" w:color="auto"/>
            </w:tcBorders>
            <w:shd w:val="clear" w:color="auto" w:fill="auto"/>
            <w:vAlign w:val="center"/>
          </w:tcPr>
          <w:p w14:paraId="06B5074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5,98</w:t>
            </w:r>
          </w:p>
        </w:tc>
        <w:tc>
          <w:tcPr>
            <w:tcW w:w="1556" w:type="dxa"/>
            <w:tcBorders>
              <w:top w:val="nil"/>
              <w:left w:val="nil"/>
              <w:bottom w:val="single" w:sz="4" w:space="0" w:color="auto"/>
              <w:right w:val="single" w:sz="4" w:space="0" w:color="auto"/>
            </w:tcBorders>
            <w:shd w:val="clear" w:color="auto" w:fill="auto"/>
            <w:vAlign w:val="center"/>
          </w:tcPr>
          <w:p w14:paraId="69E5E34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6,19</w:t>
            </w:r>
          </w:p>
        </w:tc>
        <w:tc>
          <w:tcPr>
            <w:tcW w:w="1099" w:type="dxa"/>
            <w:tcBorders>
              <w:top w:val="nil"/>
              <w:left w:val="nil"/>
              <w:bottom w:val="single" w:sz="4" w:space="0" w:color="auto"/>
              <w:right w:val="single" w:sz="4" w:space="0" w:color="auto"/>
            </w:tcBorders>
            <w:shd w:val="clear" w:color="000000" w:fill="92D050"/>
            <w:vAlign w:val="center"/>
          </w:tcPr>
          <w:p w14:paraId="334CC72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2380EB07"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743E2333" w14:textId="77777777" w:rsidTr="00E06E22">
        <w:trPr>
          <w:trHeight w:val="600"/>
          <w:jc w:val="center"/>
        </w:trPr>
        <w:tc>
          <w:tcPr>
            <w:tcW w:w="5319" w:type="dxa"/>
            <w:tcBorders>
              <w:top w:val="nil"/>
              <w:left w:val="single" w:sz="4" w:space="0" w:color="auto"/>
              <w:bottom w:val="single" w:sz="4" w:space="0" w:color="auto"/>
              <w:right w:val="single" w:sz="4" w:space="0" w:color="auto"/>
            </w:tcBorders>
            <w:shd w:val="clear" w:color="auto" w:fill="auto"/>
            <w:vAlign w:val="center"/>
          </w:tcPr>
          <w:p w14:paraId="5D6067AF"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lastRenderedPageBreak/>
              <w:t>Tasso di ricovero diurno di tipo diagnostico x 1.000 residenti - GRIGLIA LEA</w:t>
            </w:r>
          </w:p>
        </w:tc>
        <w:tc>
          <w:tcPr>
            <w:tcW w:w="699" w:type="dxa"/>
            <w:tcBorders>
              <w:top w:val="nil"/>
              <w:left w:val="nil"/>
              <w:bottom w:val="single" w:sz="4" w:space="0" w:color="auto"/>
              <w:right w:val="single" w:sz="4" w:space="0" w:color="auto"/>
            </w:tcBorders>
            <w:shd w:val="clear" w:color="auto" w:fill="auto"/>
            <w:vAlign w:val="center"/>
          </w:tcPr>
          <w:p w14:paraId="56768BF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2,6</w:t>
            </w:r>
          </w:p>
        </w:tc>
        <w:tc>
          <w:tcPr>
            <w:tcW w:w="1207" w:type="dxa"/>
            <w:tcBorders>
              <w:top w:val="nil"/>
              <w:left w:val="nil"/>
              <w:bottom w:val="single" w:sz="4" w:space="0" w:color="auto"/>
              <w:right w:val="single" w:sz="4" w:space="0" w:color="auto"/>
            </w:tcBorders>
            <w:shd w:val="clear" w:color="auto" w:fill="auto"/>
            <w:vAlign w:val="center"/>
          </w:tcPr>
          <w:p w14:paraId="1CE4C2C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1,74</w:t>
            </w:r>
          </w:p>
        </w:tc>
        <w:tc>
          <w:tcPr>
            <w:tcW w:w="1556" w:type="dxa"/>
            <w:tcBorders>
              <w:top w:val="nil"/>
              <w:left w:val="nil"/>
              <w:bottom w:val="single" w:sz="4" w:space="0" w:color="auto"/>
              <w:right w:val="single" w:sz="4" w:space="0" w:color="auto"/>
            </w:tcBorders>
            <w:shd w:val="clear" w:color="auto" w:fill="auto"/>
            <w:vAlign w:val="center"/>
          </w:tcPr>
          <w:p w14:paraId="0F10EE5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1,76</w:t>
            </w:r>
          </w:p>
        </w:tc>
        <w:tc>
          <w:tcPr>
            <w:tcW w:w="1099" w:type="dxa"/>
            <w:tcBorders>
              <w:top w:val="nil"/>
              <w:left w:val="nil"/>
              <w:bottom w:val="single" w:sz="4" w:space="0" w:color="auto"/>
              <w:right w:val="single" w:sz="4" w:space="0" w:color="auto"/>
            </w:tcBorders>
            <w:shd w:val="clear" w:color="000000" w:fill="00B050"/>
            <w:vAlign w:val="center"/>
          </w:tcPr>
          <w:p w14:paraId="1793386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05E66F07"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406CB505" w14:textId="77777777" w:rsidTr="00E06E22">
        <w:trPr>
          <w:trHeight w:val="600"/>
          <w:jc w:val="center"/>
        </w:trPr>
        <w:tc>
          <w:tcPr>
            <w:tcW w:w="5319" w:type="dxa"/>
            <w:tcBorders>
              <w:top w:val="nil"/>
              <w:left w:val="single" w:sz="4" w:space="0" w:color="auto"/>
              <w:bottom w:val="single" w:sz="4" w:space="0" w:color="auto"/>
              <w:right w:val="single" w:sz="4" w:space="0" w:color="auto"/>
            </w:tcBorders>
            <w:shd w:val="clear" w:color="auto" w:fill="auto"/>
            <w:vAlign w:val="center"/>
          </w:tcPr>
          <w:p w14:paraId="0ED95C8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Tasso </w:t>
            </w:r>
            <w:proofErr w:type="spellStart"/>
            <w:r>
              <w:rPr>
                <w:rFonts w:asciiTheme="minorHAnsi" w:hAnsiTheme="minorHAnsi" w:cs="Times New Roman"/>
                <w:color w:val="000000"/>
                <w:sz w:val="20"/>
                <w:lang w:eastAsia="it-IT" w:bidi="ar-SA"/>
              </w:rPr>
              <w:t>std</w:t>
            </w:r>
            <w:proofErr w:type="spellEnd"/>
            <w:r>
              <w:rPr>
                <w:rFonts w:asciiTheme="minorHAnsi" w:hAnsiTheme="minorHAnsi" w:cs="Times New Roman"/>
                <w:color w:val="000000"/>
                <w:sz w:val="20"/>
                <w:lang w:eastAsia="it-IT" w:bidi="ar-SA"/>
              </w:rPr>
              <w:t xml:space="preserve"> di accessi di tipo medico x 1.000 residenti - GRIGLIA LEA</w:t>
            </w:r>
          </w:p>
        </w:tc>
        <w:tc>
          <w:tcPr>
            <w:tcW w:w="699" w:type="dxa"/>
            <w:tcBorders>
              <w:top w:val="nil"/>
              <w:left w:val="nil"/>
              <w:bottom w:val="single" w:sz="4" w:space="0" w:color="auto"/>
              <w:right w:val="single" w:sz="4" w:space="0" w:color="auto"/>
            </w:tcBorders>
            <w:shd w:val="clear" w:color="auto" w:fill="auto"/>
            <w:vAlign w:val="center"/>
          </w:tcPr>
          <w:p w14:paraId="43C0855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110,1</w:t>
            </w:r>
          </w:p>
        </w:tc>
        <w:tc>
          <w:tcPr>
            <w:tcW w:w="1207" w:type="dxa"/>
            <w:tcBorders>
              <w:top w:val="nil"/>
              <w:left w:val="nil"/>
              <w:bottom w:val="single" w:sz="4" w:space="0" w:color="auto"/>
              <w:right w:val="single" w:sz="4" w:space="0" w:color="auto"/>
            </w:tcBorders>
            <w:shd w:val="clear" w:color="auto" w:fill="auto"/>
            <w:vAlign w:val="center"/>
          </w:tcPr>
          <w:p w14:paraId="4BC7EE3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93,04</w:t>
            </w:r>
          </w:p>
        </w:tc>
        <w:tc>
          <w:tcPr>
            <w:tcW w:w="1556" w:type="dxa"/>
            <w:tcBorders>
              <w:top w:val="nil"/>
              <w:left w:val="nil"/>
              <w:bottom w:val="single" w:sz="4" w:space="0" w:color="auto"/>
              <w:right w:val="single" w:sz="4" w:space="0" w:color="auto"/>
            </w:tcBorders>
            <w:shd w:val="clear" w:color="auto" w:fill="auto"/>
            <w:vAlign w:val="center"/>
          </w:tcPr>
          <w:p w14:paraId="500B644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88,21</w:t>
            </w:r>
          </w:p>
        </w:tc>
        <w:tc>
          <w:tcPr>
            <w:tcW w:w="1099" w:type="dxa"/>
            <w:tcBorders>
              <w:top w:val="nil"/>
              <w:left w:val="nil"/>
              <w:bottom w:val="single" w:sz="4" w:space="0" w:color="auto"/>
              <w:right w:val="single" w:sz="4" w:space="0" w:color="auto"/>
            </w:tcBorders>
            <w:shd w:val="clear" w:color="auto" w:fill="auto"/>
            <w:vAlign w:val="center"/>
          </w:tcPr>
          <w:p w14:paraId="601250D4" w14:textId="77777777" w:rsidR="00E27519" w:rsidRDefault="00E27519">
            <w:pPr>
              <w:suppressAutoHyphens w:val="0"/>
              <w:spacing w:before="0"/>
              <w:jc w:val="center"/>
              <w:rPr>
                <w:rFonts w:asciiTheme="minorHAnsi" w:hAnsiTheme="minorHAnsi" w:cs="Times New Roman"/>
                <w:color w:val="000000"/>
                <w:sz w:val="20"/>
                <w:lang w:eastAsia="it-IT" w:bidi="ar-SA"/>
              </w:rPr>
            </w:pPr>
          </w:p>
        </w:tc>
        <w:tc>
          <w:tcPr>
            <w:tcW w:w="640" w:type="dxa"/>
            <w:tcBorders>
              <w:top w:val="nil"/>
              <w:left w:val="nil"/>
              <w:bottom w:val="single" w:sz="4" w:space="0" w:color="auto"/>
              <w:right w:val="single" w:sz="4" w:space="0" w:color="auto"/>
            </w:tcBorders>
            <w:shd w:val="clear" w:color="auto" w:fill="auto"/>
            <w:vAlign w:val="center"/>
          </w:tcPr>
          <w:p w14:paraId="39B3C3D6"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00B050"/>
                <w:sz w:val="24"/>
                <w:lang w:eastAsia="it-IT" w:bidi="ar-SA"/>
              </w:rPr>
              <w:t>↑</w:t>
            </w:r>
          </w:p>
        </w:tc>
      </w:tr>
      <w:tr w:rsidR="00E27519" w14:paraId="4852DB8C" w14:textId="77777777" w:rsidTr="00E06E22">
        <w:trPr>
          <w:trHeight w:val="1200"/>
          <w:jc w:val="center"/>
        </w:trPr>
        <w:tc>
          <w:tcPr>
            <w:tcW w:w="5319" w:type="dxa"/>
            <w:tcBorders>
              <w:top w:val="nil"/>
              <w:left w:val="single" w:sz="4" w:space="0" w:color="auto"/>
              <w:bottom w:val="single" w:sz="4" w:space="0" w:color="auto"/>
              <w:right w:val="single" w:sz="4" w:space="0" w:color="auto"/>
            </w:tcBorders>
            <w:shd w:val="clear" w:color="auto" w:fill="auto"/>
            <w:vAlign w:val="center"/>
          </w:tcPr>
          <w:p w14:paraId="25695736"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Rapporto tra ricoveri attribuiti a DRG ad alto rischio di </w:t>
            </w:r>
            <w:proofErr w:type="spellStart"/>
            <w:r>
              <w:rPr>
                <w:rFonts w:asciiTheme="minorHAnsi" w:hAnsiTheme="minorHAnsi" w:cs="Times New Roman"/>
                <w:color w:val="000000"/>
                <w:sz w:val="20"/>
                <w:lang w:eastAsia="it-IT" w:bidi="ar-SA"/>
              </w:rPr>
              <w:t>inappropriatezza</w:t>
            </w:r>
            <w:proofErr w:type="spellEnd"/>
            <w:r>
              <w:rPr>
                <w:rFonts w:asciiTheme="minorHAnsi" w:hAnsiTheme="minorHAnsi" w:cs="Times New Roman"/>
                <w:color w:val="000000"/>
                <w:sz w:val="20"/>
                <w:lang w:eastAsia="it-IT" w:bidi="ar-SA"/>
              </w:rPr>
              <w:t xml:space="preserve"> (</w:t>
            </w:r>
            <w:proofErr w:type="spellStart"/>
            <w:r>
              <w:rPr>
                <w:rFonts w:asciiTheme="minorHAnsi" w:hAnsiTheme="minorHAnsi" w:cs="Times New Roman"/>
                <w:color w:val="000000"/>
                <w:sz w:val="20"/>
                <w:lang w:eastAsia="it-IT" w:bidi="ar-SA"/>
              </w:rPr>
              <w:t>alleg</w:t>
            </w:r>
            <w:proofErr w:type="spellEnd"/>
            <w:r>
              <w:rPr>
                <w:rFonts w:asciiTheme="minorHAnsi" w:hAnsiTheme="minorHAnsi" w:cs="Times New Roman"/>
                <w:color w:val="000000"/>
                <w:sz w:val="20"/>
                <w:lang w:eastAsia="it-IT" w:bidi="ar-SA"/>
              </w:rPr>
              <w:t xml:space="preserve">. B Patto per la Salute 2010-2012) e ricoveri attribuiti a DRG non a rischio di </w:t>
            </w:r>
            <w:proofErr w:type="spellStart"/>
            <w:r>
              <w:rPr>
                <w:rFonts w:asciiTheme="minorHAnsi" w:hAnsiTheme="minorHAnsi" w:cs="Times New Roman"/>
                <w:color w:val="000000"/>
                <w:sz w:val="20"/>
                <w:lang w:eastAsia="it-IT" w:bidi="ar-SA"/>
              </w:rPr>
              <w:t>inappropriatezza</w:t>
            </w:r>
            <w:proofErr w:type="spellEnd"/>
            <w:r>
              <w:rPr>
                <w:rFonts w:asciiTheme="minorHAnsi" w:hAnsiTheme="minorHAnsi" w:cs="Times New Roman"/>
                <w:color w:val="000000"/>
                <w:sz w:val="20"/>
                <w:lang w:eastAsia="it-IT" w:bidi="ar-SA"/>
              </w:rPr>
              <w:t xml:space="preserve"> in regime ordinario - GRIGLIA LEA</w:t>
            </w:r>
          </w:p>
        </w:tc>
        <w:tc>
          <w:tcPr>
            <w:tcW w:w="699" w:type="dxa"/>
            <w:tcBorders>
              <w:top w:val="nil"/>
              <w:left w:val="nil"/>
              <w:bottom w:val="single" w:sz="4" w:space="0" w:color="auto"/>
              <w:right w:val="single" w:sz="4" w:space="0" w:color="auto"/>
            </w:tcBorders>
            <w:shd w:val="clear" w:color="auto" w:fill="auto"/>
            <w:vAlign w:val="center"/>
          </w:tcPr>
          <w:p w14:paraId="554376A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0,22</w:t>
            </w:r>
          </w:p>
        </w:tc>
        <w:tc>
          <w:tcPr>
            <w:tcW w:w="1207" w:type="dxa"/>
            <w:tcBorders>
              <w:top w:val="nil"/>
              <w:left w:val="nil"/>
              <w:bottom w:val="single" w:sz="4" w:space="0" w:color="auto"/>
              <w:right w:val="single" w:sz="4" w:space="0" w:color="auto"/>
            </w:tcBorders>
            <w:shd w:val="clear" w:color="auto" w:fill="auto"/>
            <w:vAlign w:val="center"/>
          </w:tcPr>
          <w:p w14:paraId="182BBBD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0,19</w:t>
            </w:r>
          </w:p>
        </w:tc>
        <w:tc>
          <w:tcPr>
            <w:tcW w:w="1556" w:type="dxa"/>
            <w:tcBorders>
              <w:top w:val="nil"/>
              <w:left w:val="nil"/>
              <w:bottom w:val="single" w:sz="4" w:space="0" w:color="auto"/>
              <w:right w:val="single" w:sz="4" w:space="0" w:color="auto"/>
            </w:tcBorders>
            <w:shd w:val="clear" w:color="auto" w:fill="auto"/>
            <w:vAlign w:val="center"/>
          </w:tcPr>
          <w:p w14:paraId="60D0D78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0,18</w:t>
            </w:r>
          </w:p>
        </w:tc>
        <w:tc>
          <w:tcPr>
            <w:tcW w:w="1099" w:type="dxa"/>
            <w:tcBorders>
              <w:top w:val="nil"/>
              <w:left w:val="nil"/>
              <w:bottom w:val="single" w:sz="4" w:space="0" w:color="auto"/>
              <w:right w:val="single" w:sz="4" w:space="0" w:color="auto"/>
            </w:tcBorders>
            <w:shd w:val="clear" w:color="000000" w:fill="92D050"/>
            <w:vAlign w:val="center"/>
          </w:tcPr>
          <w:p w14:paraId="46EA36E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22483CD7"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bl>
    <w:p w14:paraId="2DBD62BA" w14:textId="77777777" w:rsidR="00E27519" w:rsidRDefault="0003178C">
      <w:pPr>
        <w:ind w:right="284"/>
        <w:jc w:val="both"/>
        <w:rPr>
          <w:rFonts w:asciiTheme="minorHAnsi" w:eastAsia="Calibri" w:hAnsiTheme="minorHAnsi"/>
          <w:sz w:val="16"/>
          <w:lang w:eastAsia="en-US"/>
        </w:rPr>
      </w:pPr>
      <w:r>
        <w:rPr>
          <w:rFonts w:eastAsia="Calibri"/>
          <w:sz w:val="16"/>
          <w:lang w:eastAsia="en-US"/>
        </w:rPr>
        <w:t xml:space="preserve">Fonte: Regione Emilia Romagna, SIVER, 2016. </w:t>
      </w:r>
      <w:hyperlink r:id="rId33" w:history="1">
        <w:r>
          <w:rPr>
            <w:rStyle w:val="Collegamentoipertestuale"/>
            <w:rFonts w:eastAsia="Calibri"/>
            <w:sz w:val="16"/>
            <w:lang w:eastAsia="en-US"/>
          </w:rPr>
          <w:t>http://salute.regione.emilia-romagna.it/siseps/siver</w:t>
        </w:r>
      </w:hyperlink>
      <w:r>
        <w:rPr>
          <w:rFonts w:eastAsia="Calibri"/>
          <w:sz w:val="16"/>
          <w:lang w:eastAsia="en-US"/>
        </w:rPr>
        <w:t xml:space="preserve">. </w:t>
      </w:r>
    </w:p>
    <w:p w14:paraId="55813D61" w14:textId="77777777" w:rsidR="00E27519" w:rsidRDefault="00E27519">
      <w:pPr>
        <w:spacing w:after="120"/>
        <w:contextualSpacing/>
        <w:jc w:val="both"/>
        <w:rPr>
          <w:rFonts w:eastAsia="Calibri"/>
          <w:sz w:val="20"/>
          <w:highlight w:val="green"/>
          <w:lang w:eastAsia="en-US"/>
        </w:rPr>
      </w:pPr>
    </w:p>
    <w:p w14:paraId="5A1C9AD6" w14:textId="77777777" w:rsidR="00E27519" w:rsidRDefault="0003178C">
      <w:pPr>
        <w:spacing w:after="120"/>
        <w:contextualSpacing/>
        <w:jc w:val="both"/>
        <w:rPr>
          <w:rFonts w:eastAsia="Calibri"/>
          <w:sz w:val="20"/>
          <w:lang w:eastAsia="en-US"/>
        </w:rPr>
      </w:pPr>
      <w:r>
        <w:rPr>
          <w:rFonts w:eastAsia="Calibri"/>
          <w:sz w:val="20"/>
          <w:lang w:eastAsia="en-US"/>
        </w:rPr>
        <w:t>La dimensione sull’Appropriatezza, Qualità, Sicurezza e Rischio Clinico mostra un posizionamento dell’Azienda USL di Modena positivo per tutti gli indicatori di valutazione. Qualche problema è evidenziato dagli indicatori di monitoraggio (</w:t>
      </w:r>
      <w:r>
        <w:rPr>
          <w:rFonts w:asciiTheme="minorHAnsi" w:hAnsiTheme="minorHAnsi" w:cs="Times New Roman"/>
          <w:color w:val="000000"/>
          <w:sz w:val="20"/>
          <w:lang w:eastAsia="it-IT" w:bidi="ar-SA"/>
        </w:rPr>
        <w:t>Indice di sepsi x 1.000 pazienti con intervento chirurgico programmato; Casi di trombosi venosa profonda o embolia polmonare x 1.000 dimessi con DRG chirurgico).</w:t>
      </w:r>
    </w:p>
    <w:p w14:paraId="166CF377" w14:textId="77777777" w:rsidR="00E27519" w:rsidRDefault="00E27519">
      <w:pPr>
        <w:spacing w:after="120"/>
        <w:contextualSpacing/>
        <w:jc w:val="both"/>
        <w:rPr>
          <w:rFonts w:eastAsia="Calibri"/>
          <w:sz w:val="20"/>
          <w:lang w:eastAsia="en-US"/>
        </w:rPr>
      </w:pPr>
    </w:p>
    <w:p w14:paraId="6CC4C909" w14:textId="77777777" w:rsidR="00E27519" w:rsidRDefault="0003178C">
      <w:pPr>
        <w:spacing w:after="120"/>
        <w:contextualSpacing/>
        <w:jc w:val="both"/>
        <w:rPr>
          <w:rFonts w:eastAsia="Calibri"/>
          <w:sz w:val="20"/>
          <w:lang w:eastAsia="en-US"/>
        </w:rPr>
      </w:pPr>
      <w:r>
        <w:rPr>
          <w:rFonts w:eastAsia="Calibri"/>
          <w:sz w:val="20"/>
          <w:lang w:eastAsia="en-US"/>
        </w:rPr>
        <w:t>Organizzazione</w:t>
      </w:r>
    </w:p>
    <w:tbl>
      <w:tblPr>
        <w:tblW w:w="10271" w:type="dxa"/>
        <w:jc w:val="center"/>
        <w:tblLayout w:type="fixed"/>
        <w:tblCellMar>
          <w:left w:w="70" w:type="dxa"/>
          <w:right w:w="70" w:type="dxa"/>
        </w:tblCellMar>
        <w:tblLook w:val="04A0" w:firstRow="1" w:lastRow="0" w:firstColumn="1" w:lastColumn="0" w:noHBand="0" w:noVBand="1"/>
      </w:tblPr>
      <w:tblGrid>
        <w:gridCol w:w="5172"/>
        <w:gridCol w:w="546"/>
        <w:gridCol w:w="1223"/>
        <w:gridCol w:w="1517"/>
        <w:gridCol w:w="1099"/>
        <w:gridCol w:w="714"/>
      </w:tblGrid>
      <w:tr w:rsidR="00E27519" w14:paraId="78803F53" w14:textId="77777777" w:rsidTr="00E06E22">
        <w:trPr>
          <w:trHeight w:val="600"/>
          <w:jc w:val="center"/>
        </w:trPr>
        <w:tc>
          <w:tcPr>
            <w:tcW w:w="5172" w:type="dxa"/>
            <w:tcBorders>
              <w:top w:val="single" w:sz="4" w:space="0" w:color="auto"/>
              <w:left w:val="single" w:sz="4" w:space="0" w:color="auto"/>
              <w:bottom w:val="single" w:sz="4" w:space="0" w:color="auto"/>
              <w:right w:val="single" w:sz="4" w:space="0" w:color="auto"/>
            </w:tcBorders>
            <w:shd w:val="clear" w:color="auto" w:fill="auto"/>
            <w:vAlign w:val="center"/>
          </w:tcPr>
          <w:p w14:paraId="54614FE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Indicatore</w:t>
            </w:r>
          </w:p>
        </w:tc>
        <w:tc>
          <w:tcPr>
            <w:tcW w:w="546" w:type="dxa"/>
            <w:tcBorders>
              <w:top w:val="single" w:sz="2" w:space="0" w:color="auto"/>
              <w:left w:val="nil"/>
              <w:bottom w:val="single" w:sz="2" w:space="0" w:color="auto"/>
              <w:right w:val="single" w:sz="2" w:space="0" w:color="auto"/>
            </w:tcBorders>
            <w:shd w:val="clear" w:color="auto" w:fill="auto"/>
            <w:vAlign w:val="center"/>
          </w:tcPr>
          <w:p w14:paraId="344472C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40F4AFF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223" w:type="dxa"/>
            <w:tcBorders>
              <w:top w:val="single" w:sz="4" w:space="0" w:color="auto"/>
              <w:left w:val="nil"/>
              <w:bottom w:val="single" w:sz="4" w:space="0" w:color="auto"/>
              <w:right w:val="single" w:sz="4" w:space="0" w:color="auto"/>
            </w:tcBorders>
            <w:shd w:val="clear" w:color="auto" w:fill="auto"/>
            <w:vAlign w:val="center"/>
          </w:tcPr>
          <w:p w14:paraId="060F3E8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1517" w:type="dxa"/>
            <w:tcBorders>
              <w:top w:val="single" w:sz="4" w:space="0" w:color="auto"/>
              <w:left w:val="nil"/>
              <w:bottom w:val="single" w:sz="4" w:space="0" w:color="auto"/>
              <w:right w:val="single" w:sz="4" w:space="0" w:color="auto"/>
            </w:tcBorders>
            <w:shd w:val="clear" w:color="auto" w:fill="auto"/>
            <w:vAlign w:val="center"/>
          </w:tcPr>
          <w:p w14:paraId="11DE391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15416A8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99" w:type="dxa"/>
            <w:tcBorders>
              <w:top w:val="single" w:sz="4" w:space="0" w:color="auto"/>
              <w:left w:val="nil"/>
              <w:bottom w:val="single" w:sz="4" w:space="0" w:color="auto"/>
              <w:right w:val="single" w:sz="4" w:space="0" w:color="auto"/>
            </w:tcBorders>
            <w:shd w:val="clear" w:color="auto" w:fill="auto"/>
            <w:vAlign w:val="center"/>
          </w:tcPr>
          <w:p w14:paraId="09A13702"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08C7F96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714" w:type="dxa"/>
            <w:tcBorders>
              <w:top w:val="single" w:sz="4" w:space="0" w:color="auto"/>
              <w:left w:val="nil"/>
              <w:bottom w:val="single" w:sz="4" w:space="0" w:color="auto"/>
              <w:right w:val="single" w:sz="4" w:space="0" w:color="auto"/>
            </w:tcBorders>
            <w:shd w:val="clear" w:color="auto" w:fill="auto"/>
            <w:vAlign w:val="center"/>
          </w:tcPr>
          <w:p w14:paraId="7AB7CEA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155EF26A" w14:textId="77777777" w:rsidTr="00E06E22">
        <w:trPr>
          <w:trHeight w:val="600"/>
          <w:jc w:val="center"/>
        </w:trPr>
        <w:tc>
          <w:tcPr>
            <w:tcW w:w="5172" w:type="dxa"/>
            <w:tcBorders>
              <w:top w:val="nil"/>
              <w:left w:val="single" w:sz="4" w:space="0" w:color="auto"/>
              <w:bottom w:val="single" w:sz="4" w:space="0" w:color="auto"/>
              <w:right w:val="single" w:sz="4" w:space="0" w:color="auto"/>
            </w:tcBorders>
            <w:shd w:val="clear" w:color="auto" w:fill="auto"/>
            <w:vAlign w:val="center"/>
          </w:tcPr>
          <w:p w14:paraId="6B0A3ED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Tempestività nell’invio dei dati rispetto al periodo di competenza</w:t>
            </w:r>
          </w:p>
        </w:tc>
        <w:tc>
          <w:tcPr>
            <w:tcW w:w="546" w:type="dxa"/>
            <w:tcBorders>
              <w:top w:val="nil"/>
              <w:left w:val="nil"/>
              <w:bottom w:val="single" w:sz="4" w:space="0" w:color="auto"/>
              <w:right w:val="single" w:sz="4" w:space="0" w:color="auto"/>
            </w:tcBorders>
            <w:shd w:val="clear" w:color="auto" w:fill="auto"/>
            <w:vAlign w:val="center"/>
          </w:tcPr>
          <w:p w14:paraId="0318FF3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6,4</w:t>
            </w:r>
          </w:p>
        </w:tc>
        <w:tc>
          <w:tcPr>
            <w:tcW w:w="1223" w:type="dxa"/>
            <w:tcBorders>
              <w:top w:val="nil"/>
              <w:left w:val="nil"/>
              <w:bottom w:val="single" w:sz="4" w:space="0" w:color="auto"/>
              <w:right w:val="single" w:sz="4" w:space="0" w:color="auto"/>
            </w:tcBorders>
            <w:shd w:val="clear" w:color="auto" w:fill="auto"/>
            <w:vAlign w:val="center"/>
          </w:tcPr>
          <w:p w14:paraId="7104B83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6,11</w:t>
            </w:r>
          </w:p>
        </w:tc>
        <w:tc>
          <w:tcPr>
            <w:tcW w:w="1517" w:type="dxa"/>
            <w:tcBorders>
              <w:top w:val="nil"/>
              <w:left w:val="nil"/>
              <w:bottom w:val="single" w:sz="4" w:space="0" w:color="auto"/>
              <w:right w:val="single" w:sz="4" w:space="0" w:color="auto"/>
            </w:tcBorders>
            <w:shd w:val="clear" w:color="auto" w:fill="auto"/>
            <w:vAlign w:val="center"/>
          </w:tcPr>
          <w:p w14:paraId="5D1C669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7,56</w:t>
            </w:r>
          </w:p>
        </w:tc>
        <w:tc>
          <w:tcPr>
            <w:tcW w:w="1099" w:type="dxa"/>
            <w:tcBorders>
              <w:top w:val="nil"/>
              <w:left w:val="nil"/>
              <w:bottom w:val="single" w:sz="4" w:space="0" w:color="auto"/>
              <w:right w:val="single" w:sz="4" w:space="0" w:color="auto"/>
            </w:tcBorders>
            <w:shd w:val="clear" w:color="000000" w:fill="92D050"/>
            <w:vAlign w:val="center"/>
          </w:tcPr>
          <w:p w14:paraId="2598470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714" w:type="dxa"/>
            <w:tcBorders>
              <w:top w:val="nil"/>
              <w:left w:val="nil"/>
              <w:bottom w:val="single" w:sz="4" w:space="0" w:color="auto"/>
              <w:right w:val="single" w:sz="4" w:space="0" w:color="auto"/>
            </w:tcBorders>
            <w:shd w:val="clear" w:color="auto" w:fill="auto"/>
            <w:vAlign w:val="center"/>
          </w:tcPr>
          <w:p w14:paraId="5DEAD7A0" w14:textId="77777777" w:rsidR="00E27519" w:rsidRDefault="0003178C">
            <w:pPr>
              <w:suppressAutoHyphens w:val="0"/>
              <w:spacing w:before="0"/>
              <w:jc w:val="center"/>
              <w:rPr>
                <w:rFonts w:asciiTheme="minorHAnsi" w:hAnsiTheme="minorHAnsi" w:cs="Times New Roman"/>
                <w:color w:val="00B050"/>
                <w:sz w:val="20"/>
                <w:lang w:eastAsia="it-IT" w:bidi="ar-SA"/>
              </w:rPr>
            </w:pPr>
            <w:r>
              <w:rPr>
                <w:rFonts w:asciiTheme="minorHAnsi" w:hAnsiTheme="minorHAnsi" w:cs="Times New Roman"/>
                <w:color w:val="00B050"/>
                <w:sz w:val="24"/>
                <w:lang w:eastAsia="it-IT" w:bidi="ar-SA"/>
              </w:rPr>
              <w:t>↑</w:t>
            </w:r>
          </w:p>
        </w:tc>
      </w:tr>
    </w:tbl>
    <w:p w14:paraId="76868573" w14:textId="77777777" w:rsidR="00E27519" w:rsidRDefault="0003178C">
      <w:pPr>
        <w:ind w:right="284"/>
        <w:jc w:val="both"/>
        <w:rPr>
          <w:rFonts w:asciiTheme="minorHAnsi" w:eastAsia="Calibri" w:hAnsiTheme="minorHAnsi"/>
          <w:sz w:val="16"/>
          <w:lang w:eastAsia="en-US"/>
        </w:rPr>
      </w:pPr>
      <w:r>
        <w:rPr>
          <w:rFonts w:eastAsia="Calibri"/>
          <w:sz w:val="16"/>
          <w:lang w:eastAsia="en-US"/>
        </w:rPr>
        <w:t xml:space="preserve">Fonte: Regione Emilia Romagna, SIVER, 2016. </w:t>
      </w:r>
      <w:hyperlink r:id="rId34" w:history="1">
        <w:r>
          <w:rPr>
            <w:rStyle w:val="Collegamentoipertestuale"/>
            <w:rFonts w:eastAsia="Calibri"/>
            <w:sz w:val="16"/>
            <w:lang w:eastAsia="en-US"/>
          </w:rPr>
          <w:t>http://salute.regione.emilia-romagna.it/siseps/siver</w:t>
        </w:r>
      </w:hyperlink>
      <w:r>
        <w:rPr>
          <w:rFonts w:eastAsia="Calibri"/>
          <w:sz w:val="16"/>
          <w:lang w:eastAsia="en-US"/>
        </w:rPr>
        <w:t xml:space="preserve">. </w:t>
      </w:r>
    </w:p>
    <w:p w14:paraId="21BA8EC8" w14:textId="77777777" w:rsidR="00E27519" w:rsidRDefault="00E27519">
      <w:pPr>
        <w:spacing w:after="120"/>
        <w:contextualSpacing/>
        <w:jc w:val="both"/>
        <w:rPr>
          <w:rFonts w:eastAsia="Calibri"/>
          <w:sz w:val="20"/>
          <w:highlight w:val="green"/>
          <w:lang w:eastAsia="en-US"/>
        </w:rPr>
      </w:pPr>
    </w:p>
    <w:p w14:paraId="0D0447D4" w14:textId="77777777" w:rsidR="00E27519" w:rsidRDefault="0003178C">
      <w:pPr>
        <w:spacing w:after="120"/>
        <w:contextualSpacing/>
        <w:jc w:val="both"/>
        <w:rPr>
          <w:rFonts w:eastAsia="Calibri"/>
          <w:sz w:val="20"/>
          <w:lang w:eastAsia="en-US"/>
        </w:rPr>
      </w:pPr>
      <w:r>
        <w:rPr>
          <w:rFonts w:eastAsia="Calibri"/>
          <w:sz w:val="20"/>
          <w:lang w:eastAsia="en-US"/>
        </w:rPr>
        <w:t>La dimensione Organizzazione mostra il livello positivo dell’indicatore considerato, mentre la dimensione Anticorruzione – Trasparenza evidenzia dei margini di miglioramento nell’assolvimento degli obblighi di trasparenza, che è stato già impatto di interventi ad hoc.</w:t>
      </w:r>
    </w:p>
    <w:p w14:paraId="78445A31" w14:textId="77777777" w:rsidR="00E27519" w:rsidRDefault="00E27519">
      <w:pPr>
        <w:spacing w:after="120"/>
        <w:contextualSpacing/>
        <w:jc w:val="both"/>
        <w:rPr>
          <w:rFonts w:eastAsia="Calibri"/>
          <w:sz w:val="20"/>
          <w:lang w:eastAsia="en-US"/>
        </w:rPr>
      </w:pPr>
    </w:p>
    <w:p w14:paraId="71450342" w14:textId="77777777" w:rsidR="00E27519" w:rsidRDefault="0003178C">
      <w:pPr>
        <w:spacing w:after="120"/>
        <w:contextualSpacing/>
        <w:jc w:val="both"/>
        <w:rPr>
          <w:rFonts w:eastAsia="Calibri"/>
          <w:sz w:val="20"/>
          <w:lang w:eastAsia="en-US"/>
        </w:rPr>
      </w:pPr>
      <w:r>
        <w:rPr>
          <w:rFonts w:eastAsia="Calibri"/>
          <w:sz w:val="20"/>
          <w:lang w:eastAsia="en-US"/>
        </w:rPr>
        <w:t>Anticorruzione-Trasparenza</w:t>
      </w:r>
    </w:p>
    <w:tbl>
      <w:tblPr>
        <w:tblW w:w="10271" w:type="dxa"/>
        <w:jc w:val="center"/>
        <w:tblLayout w:type="fixed"/>
        <w:tblCellMar>
          <w:left w:w="70" w:type="dxa"/>
          <w:right w:w="70" w:type="dxa"/>
        </w:tblCellMar>
        <w:tblLook w:val="04A0" w:firstRow="1" w:lastRow="0" w:firstColumn="1" w:lastColumn="0" w:noHBand="0" w:noVBand="1"/>
      </w:tblPr>
      <w:tblGrid>
        <w:gridCol w:w="5113"/>
        <w:gridCol w:w="580"/>
        <w:gridCol w:w="1248"/>
        <w:gridCol w:w="1515"/>
        <w:gridCol w:w="1099"/>
        <w:gridCol w:w="716"/>
      </w:tblGrid>
      <w:tr w:rsidR="00E27519" w14:paraId="3FA77D3F" w14:textId="77777777" w:rsidTr="00E06E22">
        <w:trPr>
          <w:trHeight w:val="600"/>
          <w:jc w:val="center"/>
        </w:trPr>
        <w:tc>
          <w:tcPr>
            <w:tcW w:w="5113" w:type="dxa"/>
            <w:tcBorders>
              <w:top w:val="single" w:sz="4" w:space="0" w:color="auto"/>
              <w:left w:val="single" w:sz="4" w:space="0" w:color="auto"/>
              <w:bottom w:val="single" w:sz="4" w:space="0" w:color="auto"/>
              <w:right w:val="single" w:sz="4" w:space="0" w:color="auto"/>
            </w:tcBorders>
            <w:shd w:val="clear" w:color="auto" w:fill="auto"/>
            <w:vAlign w:val="center"/>
          </w:tcPr>
          <w:p w14:paraId="7F9AE5B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Indicatore</w:t>
            </w:r>
          </w:p>
        </w:tc>
        <w:tc>
          <w:tcPr>
            <w:tcW w:w="580" w:type="dxa"/>
            <w:tcBorders>
              <w:top w:val="single" w:sz="2" w:space="0" w:color="auto"/>
              <w:left w:val="nil"/>
              <w:bottom w:val="single" w:sz="2" w:space="0" w:color="auto"/>
              <w:right w:val="single" w:sz="2" w:space="0" w:color="auto"/>
            </w:tcBorders>
            <w:shd w:val="clear" w:color="auto" w:fill="auto"/>
            <w:vAlign w:val="center"/>
          </w:tcPr>
          <w:p w14:paraId="746CCA7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0C9F4D3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248" w:type="dxa"/>
            <w:tcBorders>
              <w:top w:val="single" w:sz="4" w:space="0" w:color="auto"/>
              <w:left w:val="nil"/>
              <w:bottom w:val="single" w:sz="4" w:space="0" w:color="auto"/>
              <w:right w:val="single" w:sz="4" w:space="0" w:color="auto"/>
            </w:tcBorders>
            <w:shd w:val="clear" w:color="auto" w:fill="auto"/>
            <w:vAlign w:val="center"/>
          </w:tcPr>
          <w:p w14:paraId="5661C35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1515" w:type="dxa"/>
            <w:tcBorders>
              <w:top w:val="single" w:sz="4" w:space="0" w:color="auto"/>
              <w:left w:val="nil"/>
              <w:bottom w:val="single" w:sz="4" w:space="0" w:color="auto"/>
              <w:right w:val="single" w:sz="4" w:space="0" w:color="auto"/>
            </w:tcBorders>
            <w:shd w:val="clear" w:color="auto" w:fill="auto"/>
            <w:vAlign w:val="center"/>
          </w:tcPr>
          <w:p w14:paraId="7F8FDFA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4D8518C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99" w:type="dxa"/>
            <w:tcBorders>
              <w:top w:val="single" w:sz="4" w:space="0" w:color="auto"/>
              <w:left w:val="nil"/>
              <w:bottom w:val="single" w:sz="4" w:space="0" w:color="auto"/>
              <w:right w:val="single" w:sz="4" w:space="0" w:color="auto"/>
            </w:tcBorders>
            <w:shd w:val="clear" w:color="auto" w:fill="auto"/>
            <w:vAlign w:val="center"/>
          </w:tcPr>
          <w:p w14:paraId="0615AE1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08C5847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716" w:type="dxa"/>
            <w:tcBorders>
              <w:top w:val="single" w:sz="4" w:space="0" w:color="auto"/>
              <w:left w:val="nil"/>
              <w:bottom w:val="single" w:sz="4" w:space="0" w:color="auto"/>
              <w:right w:val="single" w:sz="4" w:space="0" w:color="auto"/>
            </w:tcBorders>
            <w:shd w:val="clear" w:color="auto" w:fill="auto"/>
            <w:vAlign w:val="center"/>
          </w:tcPr>
          <w:p w14:paraId="1C77EC0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5796B1B3" w14:textId="77777777" w:rsidTr="00E06E22">
        <w:trPr>
          <w:trHeight w:val="600"/>
          <w:jc w:val="center"/>
        </w:trPr>
        <w:tc>
          <w:tcPr>
            <w:tcW w:w="5113" w:type="dxa"/>
            <w:tcBorders>
              <w:top w:val="nil"/>
              <w:left w:val="single" w:sz="4" w:space="0" w:color="auto"/>
              <w:bottom w:val="single" w:sz="4" w:space="0" w:color="auto"/>
              <w:right w:val="single" w:sz="4" w:space="0" w:color="auto"/>
            </w:tcBorders>
            <w:shd w:val="clear" w:color="auto" w:fill="auto"/>
            <w:vAlign w:val="center"/>
          </w:tcPr>
          <w:p w14:paraId="177CC184" w14:textId="77777777" w:rsidR="00E27519" w:rsidRDefault="0003178C">
            <w:pPr>
              <w:suppressAutoHyphens w:val="0"/>
              <w:spacing w:before="0"/>
              <w:rPr>
                <w:rFonts w:cs="Times New Roman"/>
                <w:color w:val="000000"/>
                <w:sz w:val="20"/>
                <w:lang w:eastAsia="it-IT" w:bidi="ar-SA"/>
              </w:rPr>
            </w:pPr>
            <w:r>
              <w:rPr>
                <w:rFonts w:cs="Times New Roman"/>
                <w:color w:val="000000"/>
                <w:sz w:val="20"/>
                <w:lang w:eastAsia="it-IT" w:bidi="ar-SA"/>
              </w:rPr>
              <w:t>% sintetica di assolvimento degli obblighi di trasparenza</w:t>
            </w:r>
          </w:p>
        </w:tc>
        <w:tc>
          <w:tcPr>
            <w:tcW w:w="580" w:type="dxa"/>
            <w:tcBorders>
              <w:top w:val="nil"/>
              <w:left w:val="nil"/>
              <w:bottom w:val="single" w:sz="4" w:space="0" w:color="auto"/>
              <w:right w:val="single" w:sz="4" w:space="0" w:color="auto"/>
            </w:tcBorders>
            <w:shd w:val="clear" w:color="auto" w:fill="auto"/>
            <w:vAlign w:val="center"/>
          </w:tcPr>
          <w:p w14:paraId="2818A073"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95,4</w:t>
            </w:r>
          </w:p>
        </w:tc>
        <w:tc>
          <w:tcPr>
            <w:tcW w:w="1248" w:type="dxa"/>
            <w:tcBorders>
              <w:top w:val="nil"/>
              <w:left w:val="nil"/>
              <w:bottom w:val="single" w:sz="4" w:space="0" w:color="auto"/>
              <w:right w:val="single" w:sz="4" w:space="0" w:color="auto"/>
            </w:tcBorders>
            <w:shd w:val="clear" w:color="auto" w:fill="auto"/>
            <w:vAlign w:val="center"/>
          </w:tcPr>
          <w:p w14:paraId="53D017CB"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99,69</w:t>
            </w:r>
          </w:p>
        </w:tc>
        <w:tc>
          <w:tcPr>
            <w:tcW w:w="1515" w:type="dxa"/>
            <w:tcBorders>
              <w:top w:val="nil"/>
              <w:left w:val="nil"/>
              <w:bottom w:val="single" w:sz="4" w:space="0" w:color="auto"/>
              <w:right w:val="single" w:sz="4" w:space="0" w:color="auto"/>
            </w:tcBorders>
            <w:shd w:val="clear" w:color="auto" w:fill="auto"/>
            <w:vAlign w:val="center"/>
          </w:tcPr>
          <w:p w14:paraId="712DB38A"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85,08</w:t>
            </w:r>
          </w:p>
        </w:tc>
        <w:tc>
          <w:tcPr>
            <w:tcW w:w="1099" w:type="dxa"/>
            <w:tcBorders>
              <w:top w:val="nil"/>
              <w:left w:val="nil"/>
              <w:bottom w:val="single" w:sz="4" w:space="0" w:color="auto"/>
              <w:right w:val="single" w:sz="4" w:space="0" w:color="auto"/>
            </w:tcBorders>
            <w:shd w:val="clear" w:color="000000" w:fill="92D050"/>
            <w:vAlign w:val="center"/>
          </w:tcPr>
          <w:p w14:paraId="014DAB73"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 </w:t>
            </w:r>
          </w:p>
        </w:tc>
        <w:tc>
          <w:tcPr>
            <w:tcW w:w="716" w:type="dxa"/>
            <w:tcBorders>
              <w:top w:val="nil"/>
              <w:left w:val="nil"/>
              <w:bottom w:val="single" w:sz="4" w:space="0" w:color="auto"/>
              <w:right w:val="single" w:sz="4" w:space="0" w:color="auto"/>
            </w:tcBorders>
            <w:shd w:val="clear" w:color="auto" w:fill="auto"/>
            <w:vAlign w:val="center"/>
          </w:tcPr>
          <w:p w14:paraId="1BB70710" w14:textId="77777777" w:rsidR="00E27519" w:rsidRDefault="0003178C">
            <w:pPr>
              <w:suppressAutoHyphens w:val="0"/>
              <w:spacing w:before="0"/>
              <w:jc w:val="center"/>
              <w:rPr>
                <w:rFonts w:cs="Times New Roman"/>
                <w:color w:val="FF0000"/>
                <w:sz w:val="24"/>
                <w:lang w:eastAsia="it-IT" w:bidi="ar-SA"/>
              </w:rPr>
            </w:pPr>
            <w:r>
              <w:rPr>
                <w:rFonts w:cs="Times New Roman"/>
                <w:color w:val="FF0000"/>
                <w:sz w:val="24"/>
                <w:lang w:eastAsia="it-IT" w:bidi="ar-SA"/>
              </w:rPr>
              <w:t>↓</w:t>
            </w:r>
          </w:p>
        </w:tc>
      </w:tr>
      <w:tr w:rsidR="00E27519" w14:paraId="756ACFD1" w14:textId="77777777" w:rsidTr="00E06E22">
        <w:trPr>
          <w:trHeight w:val="600"/>
          <w:jc w:val="center"/>
        </w:trPr>
        <w:tc>
          <w:tcPr>
            <w:tcW w:w="5113" w:type="dxa"/>
            <w:tcBorders>
              <w:top w:val="nil"/>
              <w:left w:val="single" w:sz="4" w:space="0" w:color="auto"/>
              <w:bottom w:val="single" w:sz="4" w:space="0" w:color="auto"/>
              <w:right w:val="single" w:sz="4" w:space="0" w:color="auto"/>
            </w:tcBorders>
            <w:shd w:val="clear" w:color="auto" w:fill="auto"/>
            <w:vAlign w:val="center"/>
          </w:tcPr>
          <w:p w14:paraId="4B2C10E8" w14:textId="77777777" w:rsidR="00E27519" w:rsidRDefault="0003178C">
            <w:pPr>
              <w:suppressAutoHyphens w:val="0"/>
              <w:spacing w:before="0"/>
              <w:rPr>
                <w:rFonts w:cs="Times New Roman"/>
                <w:color w:val="000000"/>
                <w:sz w:val="20"/>
                <w:lang w:eastAsia="it-IT" w:bidi="ar-SA"/>
              </w:rPr>
            </w:pPr>
            <w:r>
              <w:rPr>
                <w:rFonts w:cs="Times New Roman"/>
                <w:color w:val="000000"/>
                <w:sz w:val="20"/>
                <w:lang w:eastAsia="it-IT" w:bidi="ar-SA"/>
              </w:rPr>
              <w:t xml:space="preserve">% di spesa gestita su contratti derivanti da iniziative di </w:t>
            </w:r>
            <w:proofErr w:type="spellStart"/>
            <w:r>
              <w:rPr>
                <w:rFonts w:cs="Times New Roman"/>
                <w:color w:val="000000"/>
                <w:sz w:val="20"/>
                <w:lang w:eastAsia="it-IT" w:bidi="ar-SA"/>
              </w:rPr>
              <w:t>Intercent</w:t>
            </w:r>
            <w:proofErr w:type="spellEnd"/>
            <w:r>
              <w:rPr>
                <w:rFonts w:cs="Times New Roman"/>
                <w:color w:val="000000"/>
                <w:sz w:val="20"/>
                <w:lang w:eastAsia="it-IT" w:bidi="ar-SA"/>
              </w:rPr>
              <w:t>-ER</w:t>
            </w:r>
          </w:p>
        </w:tc>
        <w:tc>
          <w:tcPr>
            <w:tcW w:w="580" w:type="dxa"/>
            <w:tcBorders>
              <w:top w:val="nil"/>
              <w:left w:val="nil"/>
              <w:bottom w:val="single" w:sz="4" w:space="0" w:color="auto"/>
              <w:right w:val="single" w:sz="4" w:space="0" w:color="auto"/>
            </w:tcBorders>
            <w:shd w:val="clear" w:color="auto" w:fill="auto"/>
            <w:vAlign w:val="center"/>
          </w:tcPr>
          <w:p w14:paraId="74917396"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42,7</w:t>
            </w:r>
          </w:p>
        </w:tc>
        <w:tc>
          <w:tcPr>
            <w:tcW w:w="1248" w:type="dxa"/>
            <w:tcBorders>
              <w:top w:val="nil"/>
              <w:left w:val="nil"/>
              <w:bottom w:val="single" w:sz="4" w:space="0" w:color="auto"/>
              <w:right w:val="single" w:sz="4" w:space="0" w:color="auto"/>
            </w:tcBorders>
            <w:shd w:val="clear" w:color="auto" w:fill="auto"/>
            <w:vAlign w:val="center"/>
          </w:tcPr>
          <w:p w14:paraId="0B0C437F"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51,85</w:t>
            </w:r>
          </w:p>
        </w:tc>
        <w:tc>
          <w:tcPr>
            <w:tcW w:w="1515" w:type="dxa"/>
            <w:tcBorders>
              <w:top w:val="nil"/>
              <w:left w:val="nil"/>
              <w:bottom w:val="single" w:sz="4" w:space="0" w:color="auto"/>
              <w:right w:val="single" w:sz="4" w:space="0" w:color="auto"/>
            </w:tcBorders>
            <w:shd w:val="clear" w:color="auto" w:fill="auto"/>
            <w:vAlign w:val="center"/>
          </w:tcPr>
          <w:p w14:paraId="7086184E"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48,78</w:t>
            </w:r>
          </w:p>
        </w:tc>
        <w:tc>
          <w:tcPr>
            <w:tcW w:w="1099" w:type="dxa"/>
            <w:tcBorders>
              <w:top w:val="nil"/>
              <w:left w:val="nil"/>
              <w:bottom w:val="single" w:sz="4" w:space="0" w:color="auto"/>
              <w:right w:val="single" w:sz="4" w:space="0" w:color="auto"/>
            </w:tcBorders>
            <w:shd w:val="clear" w:color="000000" w:fill="0070C0"/>
            <w:vAlign w:val="center"/>
          </w:tcPr>
          <w:p w14:paraId="635F58E0"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 </w:t>
            </w:r>
          </w:p>
        </w:tc>
        <w:tc>
          <w:tcPr>
            <w:tcW w:w="716" w:type="dxa"/>
            <w:tcBorders>
              <w:top w:val="nil"/>
              <w:left w:val="nil"/>
              <w:bottom w:val="single" w:sz="4" w:space="0" w:color="auto"/>
              <w:right w:val="single" w:sz="4" w:space="0" w:color="auto"/>
            </w:tcBorders>
            <w:shd w:val="clear" w:color="auto" w:fill="auto"/>
            <w:vAlign w:val="center"/>
          </w:tcPr>
          <w:p w14:paraId="5BE182FB" w14:textId="77777777" w:rsidR="00E27519" w:rsidRDefault="0003178C">
            <w:pPr>
              <w:suppressAutoHyphens w:val="0"/>
              <w:spacing w:before="0"/>
              <w:jc w:val="center"/>
              <w:rPr>
                <w:rFonts w:cs="Times New Roman"/>
                <w:color w:val="000000"/>
                <w:sz w:val="24"/>
                <w:lang w:eastAsia="it-IT" w:bidi="ar-SA"/>
              </w:rPr>
            </w:pPr>
            <w:r>
              <w:rPr>
                <w:rFonts w:cs="Times New Roman"/>
                <w:color w:val="000000"/>
                <w:sz w:val="24"/>
                <w:lang w:eastAsia="it-IT" w:bidi="ar-SA"/>
              </w:rPr>
              <w:t>-</w:t>
            </w:r>
          </w:p>
        </w:tc>
      </w:tr>
      <w:tr w:rsidR="00E27519" w14:paraId="1A28D918" w14:textId="77777777" w:rsidTr="00E06E22">
        <w:trPr>
          <w:trHeight w:val="600"/>
          <w:jc w:val="center"/>
        </w:trPr>
        <w:tc>
          <w:tcPr>
            <w:tcW w:w="5113" w:type="dxa"/>
            <w:tcBorders>
              <w:top w:val="nil"/>
              <w:left w:val="single" w:sz="4" w:space="0" w:color="auto"/>
              <w:bottom w:val="single" w:sz="4" w:space="0" w:color="auto"/>
              <w:right w:val="single" w:sz="4" w:space="0" w:color="auto"/>
            </w:tcBorders>
            <w:shd w:val="clear" w:color="auto" w:fill="auto"/>
            <w:vAlign w:val="center"/>
          </w:tcPr>
          <w:p w14:paraId="1DB36FB3" w14:textId="77777777" w:rsidR="00E27519" w:rsidRDefault="0003178C">
            <w:pPr>
              <w:suppressAutoHyphens w:val="0"/>
              <w:spacing w:before="0"/>
              <w:rPr>
                <w:rFonts w:cs="Times New Roman"/>
                <w:color w:val="000000"/>
                <w:sz w:val="20"/>
                <w:lang w:eastAsia="it-IT" w:bidi="ar-SA"/>
              </w:rPr>
            </w:pPr>
            <w:r>
              <w:rPr>
                <w:rFonts w:cs="Times New Roman"/>
                <w:color w:val="000000"/>
                <w:sz w:val="20"/>
                <w:lang w:eastAsia="it-IT" w:bidi="ar-SA"/>
              </w:rPr>
              <w:t>% di spesa gestita su contratti derivanti da iniziative di Area Vasta</w:t>
            </w:r>
          </w:p>
        </w:tc>
        <w:tc>
          <w:tcPr>
            <w:tcW w:w="580" w:type="dxa"/>
            <w:tcBorders>
              <w:top w:val="nil"/>
              <w:left w:val="nil"/>
              <w:bottom w:val="single" w:sz="4" w:space="0" w:color="auto"/>
              <w:right w:val="single" w:sz="4" w:space="0" w:color="auto"/>
            </w:tcBorders>
            <w:shd w:val="clear" w:color="auto" w:fill="auto"/>
            <w:vAlign w:val="center"/>
          </w:tcPr>
          <w:p w14:paraId="07D0F9BA"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35,5</w:t>
            </w:r>
          </w:p>
        </w:tc>
        <w:tc>
          <w:tcPr>
            <w:tcW w:w="1248" w:type="dxa"/>
            <w:tcBorders>
              <w:top w:val="nil"/>
              <w:left w:val="nil"/>
              <w:bottom w:val="single" w:sz="4" w:space="0" w:color="auto"/>
              <w:right w:val="single" w:sz="4" w:space="0" w:color="auto"/>
            </w:tcBorders>
            <w:shd w:val="clear" w:color="auto" w:fill="auto"/>
            <w:vAlign w:val="center"/>
          </w:tcPr>
          <w:p w14:paraId="770903EC"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25,31</w:t>
            </w:r>
          </w:p>
        </w:tc>
        <w:tc>
          <w:tcPr>
            <w:tcW w:w="1515" w:type="dxa"/>
            <w:tcBorders>
              <w:top w:val="nil"/>
              <w:left w:val="nil"/>
              <w:bottom w:val="single" w:sz="4" w:space="0" w:color="auto"/>
              <w:right w:val="single" w:sz="4" w:space="0" w:color="auto"/>
            </w:tcBorders>
            <w:shd w:val="clear" w:color="auto" w:fill="auto"/>
            <w:vAlign w:val="center"/>
          </w:tcPr>
          <w:p w14:paraId="2FE86D25"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29,21</w:t>
            </w:r>
          </w:p>
        </w:tc>
        <w:tc>
          <w:tcPr>
            <w:tcW w:w="1099" w:type="dxa"/>
            <w:tcBorders>
              <w:top w:val="nil"/>
              <w:left w:val="nil"/>
              <w:bottom w:val="single" w:sz="4" w:space="0" w:color="auto"/>
              <w:right w:val="single" w:sz="4" w:space="0" w:color="auto"/>
            </w:tcBorders>
            <w:shd w:val="clear" w:color="000000" w:fill="0070C0"/>
            <w:vAlign w:val="center"/>
          </w:tcPr>
          <w:p w14:paraId="02AFFA63" w14:textId="77777777" w:rsidR="00E27519" w:rsidRDefault="0003178C">
            <w:pPr>
              <w:suppressAutoHyphens w:val="0"/>
              <w:spacing w:before="0"/>
              <w:jc w:val="center"/>
              <w:rPr>
                <w:rFonts w:cs="Times New Roman"/>
                <w:color w:val="000000"/>
                <w:sz w:val="20"/>
                <w:lang w:eastAsia="it-IT" w:bidi="ar-SA"/>
              </w:rPr>
            </w:pPr>
            <w:r>
              <w:rPr>
                <w:rFonts w:cs="Times New Roman"/>
                <w:color w:val="000000"/>
                <w:sz w:val="20"/>
                <w:lang w:eastAsia="it-IT" w:bidi="ar-SA"/>
              </w:rPr>
              <w:t> </w:t>
            </w:r>
          </w:p>
        </w:tc>
        <w:tc>
          <w:tcPr>
            <w:tcW w:w="716" w:type="dxa"/>
            <w:tcBorders>
              <w:top w:val="nil"/>
              <w:left w:val="nil"/>
              <w:bottom w:val="single" w:sz="4" w:space="0" w:color="auto"/>
              <w:right w:val="single" w:sz="4" w:space="0" w:color="auto"/>
            </w:tcBorders>
            <w:shd w:val="clear" w:color="auto" w:fill="auto"/>
            <w:vAlign w:val="center"/>
          </w:tcPr>
          <w:p w14:paraId="3425688E" w14:textId="77777777" w:rsidR="00E27519" w:rsidRDefault="0003178C">
            <w:pPr>
              <w:suppressAutoHyphens w:val="0"/>
              <w:spacing w:before="0"/>
              <w:jc w:val="center"/>
              <w:rPr>
                <w:rFonts w:cs="Times New Roman"/>
                <w:color w:val="000000"/>
                <w:sz w:val="24"/>
                <w:lang w:eastAsia="it-IT" w:bidi="ar-SA"/>
              </w:rPr>
            </w:pPr>
            <w:r>
              <w:rPr>
                <w:rFonts w:cs="Times New Roman"/>
                <w:color w:val="000000"/>
                <w:sz w:val="24"/>
                <w:lang w:eastAsia="it-IT" w:bidi="ar-SA"/>
              </w:rPr>
              <w:t>-</w:t>
            </w:r>
          </w:p>
        </w:tc>
      </w:tr>
    </w:tbl>
    <w:p w14:paraId="2C1D3F78" w14:textId="77777777" w:rsidR="00E27519" w:rsidRDefault="0003178C">
      <w:pPr>
        <w:ind w:right="284"/>
        <w:jc w:val="both"/>
        <w:rPr>
          <w:rFonts w:asciiTheme="minorHAnsi" w:eastAsia="Calibri" w:hAnsiTheme="minorHAnsi"/>
          <w:sz w:val="16"/>
          <w:lang w:eastAsia="en-US"/>
        </w:rPr>
      </w:pPr>
      <w:r>
        <w:rPr>
          <w:rFonts w:eastAsia="Calibri"/>
          <w:sz w:val="16"/>
          <w:lang w:eastAsia="en-US"/>
        </w:rPr>
        <w:t xml:space="preserve">Fonte: Regione Emilia Romagna, SIVER, 2016. </w:t>
      </w:r>
      <w:hyperlink r:id="rId35" w:history="1">
        <w:r>
          <w:rPr>
            <w:rStyle w:val="Collegamentoipertestuale"/>
            <w:rFonts w:eastAsia="Calibri"/>
            <w:sz w:val="16"/>
            <w:lang w:eastAsia="en-US"/>
          </w:rPr>
          <w:t>http://salute.regione.emilia-romagna.it/siseps/siver</w:t>
        </w:r>
      </w:hyperlink>
      <w:r>
        <w:rPr>
          <w:rFonts w:eastAsia="Calibri"/>
          <w:sz w:val="16"/>
          <w:lang w:eastAsia="en-US"/>
        </w:rPr>
        <w:t xml:space="preserve">. </w:t>
      </w:r>
    </w:p>
    <w:p w14:paraId="79189896" w14:textId="77777777" w:rsidR="00E27519" w:rsidRDefault="00E27519">
      <w:pPr>
        <w:spacing w:after="120"/>
        <w:contextualSpacing/>
        <w:jc w:val="both"/>
        <w:rPr>
          <w:rFonts w:eastAsia="Calibri"/>
          <w:sz w:val="20"/>
          <w:lang w:eastAsia="en-US"/>
        </w:rPr>
      </w:pPr>
    </w:p>
    <w:p w14:paraId="3FA2A2F6" w14:textId="77777777" w:rsidR="00E27519" w:rsidRDefault="0003178C">
      <w:pPr>
        <w:ind w:right="284"/>
        <w:jc w:val="both"/>
        <w:rPr>
          <w:rFonts w:eastAsia="Calibri"/>
          <w:sz w:val="20"/>
          <w:lang w:eastAsia="en-US"/>
        </w:rPr>
      </w:pPr>
      <w:r>
        <w:rPr>
          <w:rFonts w:eastAsia="Calibri"/>
          <w:sz w:val="20"/>
          <w:lang w:eastAsia="en-US"/>
        </w:rPr>
        <w:t>Gli indicatori riguardanti la sostenibilità Economico-Finanziaria evidenziano un posizionamento positivo ad eccezione della % di consumo di molecole non coperte da brevetto e presenti nelle liste di trasparenza, dove il risultato è scarso (arancione) (MO 78,81 – RER 79,58) e nel caso del Costo pro capite assistenza sanitaria collettiva in ambiente di vita e di lavoro. In questo caso il raggiungimento dell’obiettivo è di livello medio (giallo) (MO 57 – RER 52).</w:t>
      </w:r>
    </w:p>
    <w:p w14:paraId="5D528391" w14:textId="77777777" w:rsidR="00E27519" w:rsidRDefault="00E27519">
      <w:pPr>
        <w:spacing w:after="120"/>
        <w:contextualSpacing/>
        <w:jc w:val="both"/>
        <w:rPr>
          <w:rFonts w:eastAsia="Calibri"/>
          <w:sz w:val="20"/>
          <w:lang w:eastAsia="en-US"/>
        </w:rPr>
      </w:pPr>
    </w:p>
    <w:p w14:paraId="418E4777" w14:textId="77777777" w:rsidR="00E27519" w:rsidRDefault="00E27519">
      <w:pPr>
        <w:spacing w:after="120"/>
        <w:contextualSpacing/>
        <w:jc w:val="both"/>
        <w:rPr>
          <w:rFonts w:eastAsia="Calibri"/>
          <w:sz w:val="20"/>
          <w:lang w:eastAsia="en-US"/>
        </w:rPr>
      </w:pPr>
    </w:p>
    <w:p w14:paraId="0A586864" w14:textId="77777777" w:rsidR="00E27519" w:rsidRDefault="0003178C">
      <w:pPr>
        <w:spacing w:after="120"/>
        <w:contextualSpacing/>
        <w:jc w:val="both"/>
        <w:rPr>
          <w:rFonts w:eastAsia="Calibri"/>
          <w:sz w:val="20"/>
          <w:lang w:eastAsia="en-US"/>
        </w:rPr>
      </w:pPr>
      <w:r>
        <w:rPr>
          <w:rFonts w:eastAsia="Calibri"/>
          <w:sz w:val="20"/>
          <w:lang w:eastAsia="en-US"/>
        </w:rPr>
        <w:t>Sostenibilità Economico-Finanziaria</w:t>
      </w:r>
    </w:p>
    <w:tbl>
      <w:tblPr>
        <w:tblW w:w="10340" w:type="dxa"/>
        <w:jc w:val="center"/>
        <w:tblLayout w:type="fixed"/>
        <w:tblCellMar>
          <w:left w:w="70" w:type="dxa"/>
          <w:right w:w="70" w:type="dxa"/>
        </w:tblCellMar>
        <w:tblLook w:val="04A0" w:firstRow="1" w:lastRow="0" w:firstColumn="1" w:lastColumn="0" w:noHBand="0" w:noVBand="1"/>
      </w:tblPr>
      <w:tblGrid>
        <w:gridCol w:w="4759"/>
        <w:gridCol w:w="760"/>
        <w:gridCol w:w="1280"/>
        <w:gridCol w:w="1802"/>
        <w:gridCol w:w="1099"/>
        <w:gridCol w:w="640"/>
      </w:tblGrid>
      <w:tr w:rsidR="00E27519" w14:paraId="173611B2" w14:textId="77777777" w:rsidTr="00E06E22">
        <w:trPr>
          <w:trHeight w:val="600"/>
          <w:jc w:val="center"/>
        </w:trPr>
        <w:tc>
          <w:tcPr>
            <w:tcW w:w="4759" w:type="dxa"/>
            <w:tcBorders>
              <w:top w:val="single" w:sz="4" w:space="0" w:color="auto"/>
              <w:left w:val="single" w:sz="4" w:space="0" w:color="auto"/>
              <w:bottom w:val="single" w:sz="4" w:space="0" w:color="auto"/>
              <w:right w:val="single" w:sz="4" w:space="0" w:color="auto"/>
            </w:tcBorders>
            <w:shd w:val="clear" w:color="auto" w:fill="auto"/>
            <w:vAlign w:val="center"/>
          </w:tcPr>
          <w:p w14:paraId="7CA974B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Indicatore</w:t>
            </w:r>
          </w:p>
        </w:tc>
        <w:tc>
          <w:tcPr>
            <w:tcW w:w="760" w:type="dxa"/>
            <w:tcBorders>
              <w:top w:val="single" w:sz="2" w:space="0" w:color="auto"/>
              <w:left w:val="nil"/>
              <w:bottom w:val="single" w:sz="2" w:space="0" w:color="auto"/>
              <w:right w:val="single" w:sz="2" w:space="0" w:color="auto"/>
            </w:tcBorders>
            <w:shd w:val="clear" w:color="auto" w:fill="auto"/>
            <w:vAlign w:val="center"/>
          </w:tcPr>
          <w:p w14:paraId="0BF010D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RER</w:t>
            </w:r>
          </w:p>
          <w:p w14:paraId="13C1BE2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280" w:type="dxa"/>
            <w:tcBorders>
              <w:top w:val="single" w:sz="4" w:space="0" w:color="auto"/>
              <w:left w:val="nil"/>
              <w:bottom w:val="single" w:sz="4" w:space="0" w:color="auto"/>
              <w:right w:val="single" w:sz="4" w:space="0" w:color="auto"/>
            </w:tcBorders>
            <w:shd w:val="clear" w:color="auto" w:fill="auto"/>
            <w:vAlign w:val="center"/>
          </w:tcPr>
          <w:p w14:paraId="0AA98A2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AUSL MO (2015 </w:t>
            </w:r>
            <w:proofErr w:type="spellStart"/>
            <w:r>
              <w:rPr>
                <w:rFonts w:asciiTheme="minorHAnsi" w:hAnsiTheme="minorHAnsi" w:cs="Times New Roman"/>
                <w:color w:val="000000"/>
                <w:sz w:val="20"/>
                <w:lang w:eastAsia="it-IT" w:bidi="ar-SA"/>
              </w:rPr>
              <w:t>ca</w:t>
            </w:r>
            <w:proofErr w:type="spellEnd"/>
            <w:r>
              <w:rPr>
                <w:rFonts w:asciiTheme="minorHAnsi" w:hAnsiTheme="minorHAnsi" w:cs="Times New Roman"/>
                <w:color w:val="000000"/>
                <w:sz w:val="20"/>
                <w:lang w:eastAsia="it-IT" w:bidi="ar-SA"/>
              </w:rPr>
              <w:t>.)</w:t>
            </w:r>
          </w:p>
        </w:tc>
        <w:tc>
          <w:tcPr>
            <w:tcW w:w="1802" w:type="dxa"/>
            <w:tcBorders>
              <w:top w:val="single" w:sz="4" w:space="0" w:color="auto"/>
              <w:left w:val="nil"/>
              <w:bottom w:val="single" w:sz="4" w:space="0" w:color="auto"/>
              <w:right w:val="single" w:sz="4" w:space="0" w:color="auto"/>
            </w:tcBorders>
            <w:shd w:val="clear" w:color="auto" w:fill="auto"/>
            <w:vAlign w:val="center"/>
          </w:tcPr>
          <w:p w14:paraId="2526EBA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AUSL MO</w:t>
            </w:r>
          </w:p>
          <w:p w14:paraId="612ABFC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1099" w:type="dxa"/>
            <w:tcBorders>
              <w:top w:val="single" w:sz="4" w:space="0" w:color="auto"/>
              <w:left w:val="nil"/>
              <w:bottom w:val="single" w:sz="4" w:space="0" w:color="auto"/>
              <w:right w:val="single" w:sz="4" w:space="0" w:color="auto"/>
            </w:tcBorders>
            <w:shd w:val="clear" w:color="auto" w:fill="auto"/>
            <w:vAlign w:val="center"/>
          </w:tcPr>
          <w:p w14:paraId="400B2C6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Valutazione </w:t>
            </w:r>
          </w:p>
          <w:p w14:paraId="07B3245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2016</w:t>
            </w:r>
          </w:p>
        </w:tc>
        <w:tc>
          <w:tcPr>
            <w:tcW w:w="640" w:type="dxa"/>
            <w:tcBorders>
              <w:top w:val="single" w:sz="4" w:space="0" w:color="auto"/>
              <w:left w:val="nil"/>
              <w:bottom w:val="single" w:sz="4" w:space="0" w:color="auto"/>
              <w:right w:val="single" w:sz="4" w:space="0" w:color="auto"/>
            </w:tcBorders>
            <w:shd w:val="clear" w:color="auto" w:fill="auto"/>
            <w:vAlign w:val="center"/>
          </w:tcPr>
          <w:p w14:paraId="7E86DF6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Trend</w:t>
            </w:r>
          </w:p>
        </w:tc>
      </w:tr>
      <w:tr w:rsidR="00E27519" w14:paraId="775A3181" w14:textId="77777777" w:rsidTr="00E06E22">
        <w:trPr>
          <w:trHeight w:val="420"/>
          <w:jc w:val="center"/>
        </w:trPr>
        <w:tc>
          <w:tcPr>
            <w:tcW w:w="4759" w:type="dxa"/>
            <w:tcBorders>
              <w:top w:val="nil"/>
              <w:left w:val="single" w:sz="4" w:space="0" w:color="auto"/>
              <w:bottom w:val="single" w:sz="4" w:space="0" w:color="auto"/>
              <w:right w:val="single" w:sz="4" w:space="0" w:color="auto"/>
            </w:tcBorders>
            <w:shd w:val="clear" w:color="auto" w:fill="auto"/>
            <w:vAlign w:val="center"/>
          </w:tcPr>
          <w:p w14:paraId="10519D07"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Costo pro capite totale</w:t>
            </w:r>
          </w:p>
        </w:tc>
        <w:tc>
          <w:tcPr>
            <w:tcW w:w="760" w:type="dxa"/>
            <w:tcBorders>
              <w:top w:val="nil"/>
              <w:left w:val="nil"/>
              <w:bottom w:val="single" w:sz="4" w:space="0" w:color="auto"/>
              <w:right w:val="single" w:sz="4" w:space="0" w:color="auto"/>
            </w:tcBorders>
            <w:shd w:val="clear" w:color="auto" w:fill="auto"/>
            <w:vAlign w:val="center"/>
          </w:tcPr>
          <w:p w14:paraId="2601D45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1.750,0</w:t>
            </w:r>
          </w:p>
        </w:tc>
        <w:tc>
          <w:tcPr>
            <w:tcW w:w="1280" w:type="dxa"/>
            <w:tcBorders>
              <w:top w:val="nil"/>
              <w:left w:val="nil"/>
              <w:bottom w:val="single" w:sz="4" w:space="0" w:color="auto"/>
              <w:right w:val="single" w:sz="4" w:space="0" w:color="auto"/>
            </w:tcBorders>
            <w:shd w:val="clear" w:color="auto" w:fill="auto"/>
            <w:vAlign w:val="center"/>
          </w:tcPr>
          <w:p w14:paraId="2F3BA2F6"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1.737,0</w:t>
            </w:r>
          </w:p>
        </w:tc>
        <w:tc>
          <w:tcPr>
            <w:tcW w:w="1802" w:type="dxa"/>
            <w:tcBorders>
              <w:top w:val="nil"/>
              <w:left w:val="nil"/>
              <w:bottom w:val="single" w:sz="4" w:space="0" w:color="auto"/>
              <w:right w:val="single" w:sz="4" w:space="0" w:color="auto"/>
            </w:tcBorders>
            <w:shd w:val="clear" w:color="auto" w:fill="auto"/>
            <w:vAlign w:val="center"/>
          </w:tcPr>
          <w:p w14:paraId="1DE7884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1.750,0</w:t>
            </w:r>
          </w:p>
        </w:tc>
        <w:tc>
          <w:tcPr>
            <w:tcW w:w="1099" w:type="dxa"/>
            <w:tcBorders>
              <w:top w:val="nil"/>
              <w:left w:val="nil"/>
              <w:bottom w:val="single" w:sz="4" w:space="0" w:color="auto"/>
              <w:right w:val="single" w:sz="4" w:space="0" w:color="auto"/>
            </w:tcBorders>
            <w:shd w:val="clear" w:color="000000" w:fill="92D050"/>
            <w:vAlign w:val="center"/>
          </w:tcPr>
          <w:p w14:paraId="56645F5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63A9777F" w14:textId="16397B84" w:rsidR="00E27519" w:rsidRDefault="00E06E22">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00B050"/>
                <w:sz w:val="24"/>
                <w:lang w:eastAsia="it-IT" w:bidi="ar-SA"/>
              </w:rPr>
              <w:t>↑</w:t>
            </w:r>
          </w:p>
        </w:tc>
      </w:tr>
      <w:tr w:rsidR="00E27519" w14:paraId="510CC8D8" w14:textId="77777777" w:rsidTr="00E06E22">
        <w:trPr>
          <w:trHeight w:val="600"/>
          <w:jc w:val="center"/>
        </w:trPr>
        <w:tc>
          <w:tcPr>
            <w:tcW w:w="4759" w:type="dxa"/>
            <w:tcBorders>
              <w:top w:val="nil"/>
              <w:left w:val="single" w:sz="4" w:space="0" w:color="auto"/>
              <w:bottom w:val="single" w:sz="4" w:space="0" w:color="auto"/>
              <w:right w:val="single" w:sz="4" w:space="0" w:color="auto"/>
            </w:tcBorders>
            <w:shd w:val="clear" w:color="auto" w:fill="auto"/>
            <w:vAlign w:val="center"/>
          </w:tcPr>
          <w:p w14:paraId="5A2A110E"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Costo pro capite assistenza sanitaria collettiva in ambiente di vita e di lavoro</w:t>
            </w:r>
          </w:p>
        </w:tc>
        <w:tc>
          <w:tcPr>
            <w:tcW w:w="760" w:type="dxa"/>
            <w:tcBorders>
              <w:top w:val="nil"/>
              <w:left w:val="nil"/>
              <w:bottom w:val="single" w:sz="4" w:space="0" w:color="auto"/>
              <w:right w:val="single" w:sz="4" w:space="0" w:color="auto"/>
            </w:tcBorders>
            <w:shd w:val="clear" w:color="auto" w:fill="auto"/>
            <w:vAlign w:val="center"/>
          </w:tcPr>
          <w:p w14:paraId="1ADD353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52,0</w:t>
            </w:r>
          </w:p>
        </w:tc>
        <w:tc>
          <w:tcPr>
            <w:tcW w:w="1280" w:type="dxa"/>
            <w:tcBorders>
              <w:top w:val="nil"/>
              <w:left w:val="nil"/>
              <w:bottom w:val="single" w:sz="4" w:space="0" w:color="auto"/>
              <w:right w:val="single" w:sz="4" w:space="0" w:color="auto"/>
            </w:tcBorders>
            <w:shd w:val="clear" w:color="auto" w:fill="auto"/>
            <w:vAlign w:val="center"/>
          </w:tcPr>
          <w:p w14:paraId="334EF40B"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59,0</w:t>
            </w:r>
          </w:p>
        </w:tc>
        <w:tc>
          <w:tcPr>
            <w:tcW w:w="1802" w:type="dxa"/>
            <w:tcBorders>
              <w:top w:val="nil"/>
              <w:left w:val="nil"/>
              <w:bottom w:val="single" w:sz="4" w:space="0" w:color="auto"/>
              <w:right w:val="single" w:sz="4" w:space="0" w:color="auto"/>
            </w:tcBorders>
            <w:shd w:val="clear" w:color="auto" w:fill="auto"/>
            <w:vAlign w:val="center"/>
          </w:tcPr>
          <w:p w14:paraId="76F50FE7"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57,0</w:t>
            </w:r>
          </w:p>
        </w:tc>
        <w:tc>
          <w:tcPr>
            <w:tcW w:w="1099" w:type="dxa"/>
            <w:tcBorders>
              <w:top w:val="nil"/>
              <w:left w:val="nil"/>
              <w:bottom w:val="single" w:sz="4" w:space="0" w:color="auto"/>
              <w:right w:val="single" w:sz="4" w:space="0" w:color="auto"/>
            </w:tcBorders>
            <w:shd w:val="clear" w:color="000000" w:fill="FFFF00"/>
            <w:vAlign w:val="center"/>
          </w:tcPr>
          <w:p w14:paraId="326FFCD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0D42A6FC"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613AB3EB" w14:textId="77777777" w:rsidTr="00E06E22">
        <w:trPr>
          <w:trHeight w:val="420"/>
          <w:jc w:val="center"/>
        </w:trPr>
        <w:tc>
          <w:tcPr>
            <w:tcW w:w="4759" w:type="dxa"/>
            <w:tcBorders>
              <w:top w:val="nil"/>
              <w:left w:val="single" w:sz="4" w:space="0" w:color="auto"/>
              <w:bottom w:val="single" w:sz="4" w:space="0" w:color="auto"/>
              <w:right w:val="single" w:sz="4" w:space="0" w:color="auto"/>
            </w:tcBorders>
            <w:shd w:val="clear" w:color="auto" w:fill="auto"/>
            <w:vAlign w:val="center"/>
          </w:tcPr>
          <w:p w14:paraId="7281E241"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Costo pro capite assistenza distrettuale</w:t>
            </w:r>
          </w:p>
        </w:tc>
        <w:tc>
          <w:tcPr>
            <w:tcW w:w="760" w:type="dxa"/>
            <w:tcBorders>
              <w:top w:val="nil"/>
              <w:left w:val="nil"/>
              <w:bottom w:val="single" w:sz="4" w:space="0" w:color="auto"/>
              <w:right w:val="single" w:sz="4" w:space="0" w:color="auto"/>
            </w:tcBorders>
            <w:shd w:val="clear" w:color="auto" w:fill="auto"/>
            <w:vAlign w:val="center"/>
          </w:tcPr>
          <w:p w14:paraId="7BD1C50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1.037,0</w:t>
            </w:r>
          </w:p>
        </w:tc>
        <w:tc>
          <w:tcPr>
            <w:tcW w:w="1280" w:type="dxa"/>
            <w:tcBorders>
              <w:top w:val="nil"/>
              <w:left w:val="nil"/>
              <w:bottom w:val="single" w:sz="4" w:space="0" w:color="auto"/>
              <w:right w:val="single" w:sz="4" w:space="0" w:color="auto"/>
            </w:tcBorders>
            <w:shd w:val="clear" w:color="auto" w:fill="auto"/>
            <w:vAlign w:val="center"/>
          </w:tcPr>
          <w:p w14:paraId="397FBF0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992,0</w:t>
            </w:r>
          </w:p>
        </w:tc>
        <w:tc>
          <w:tcPr>
            <w:tcW w:w="1802" w:type="dxa"/>
            <w:tcBorders>
              <w:top w:val="nil"/>
              <w:left w:val="nil"/>
              <w:bottom w:val="single" w:sz="4" w:space="0" w:color="auto"/>
              <w:right w:val="single" w:sz="4" w:space="0" w:color="auto"/>
            </w:tcBorders>
            <w:shd w:val="clear" w:color="auto" w:fill="auto"/>
            <w:vAlign w:val="center"/>
          </w:tcPr>
          <w:p w14:paraId="74D17A7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1.028,0</w:t>
            </w:r>
          </w:p>
        </w:tc>
        <w:tc>
          <w:tcPr>
            <w:tcW w:w="1099" w:type="dxa"/>
            <w:tcBorders>
              <w:top w:val="nil"/>
              <w:left w:val="nil"/>
              <w:bottom w:val="single" w:sz="4" w:space="0" w:color="auto"/>
              <w:right w:val="single" w:sz="4" w:space="0" w:color="auto"/>
            </w:tcBorders>
            <w:shd w:val="clear" w:color="000000" w:fill="92D050"/>
            <w:vAlign w:val="center"/>
          </w:tcPr>
          <w:p w14:paraId="2354F7A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0DADD7C1"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5562F6A3" w14:textId="77777777" w:rsidTr="00E06E22">
        <w:trPr>
          <w:trHeight w:val="420"/>
          <w:jc w:val="center"/>
        </w:trPr>
        <w:tc>
          <w:tcPr>
            <w:tcW w:w="4759" w:type="dxa"/>
            <w:tcBorders>
              <w:top w:val="nil"/>
              <w:left w:val="single" w:sz="4" w:space="0" w:color="auto"/>
              <w:bottom w:val="single" w:sz="4" w:space="0" w:color="auto"/>
              <w:right w:val="single" w:sz="4" w:space="0" w:color="auto"/>
            </w:tcBorders>
            <w:shd w:val="clear" w:color="auto" w:fill="auto"/>
            <w:vAlign w:val="center"/>
          </w:tcPr>
          <w:p w14:paraId="2415300A"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Costo pro capite assistenza ospedaliera</w:t>
            </w:r>
          </w:p>
        </w:tc>
        <w:tc>
          <w:tcPr>
            <w:tcW w:w="760" w:type="dxa"/>
            <w:tcBorders>
              <w:top w:val="nil"/>
              <w:left w:val="nil"/>
              <w:bottom w:val="single" w:sz="4" w:space="0" w:color="auto"/>
              <w:right w:val="single" w:sz="4" w:space="0" w:color="auto"/>
            </w:tcBorders>
            <w:shd w:val="clear" w:color="auto" w:fill="auto"/>
            <w:vAlign w:val="center"/>
          </w:tcPr>
          <w:p w14:paraId="5BE0B82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661,0</w:t>
            </w:r>
          </w:p>
        </w:tc>
        <w:tc>
          <w:tcPr>
            <w:tcW w:w="1280" w:type="dxa"/>
            <w:tcBorders>
              <w:top w:val="nil"/>
              <w:left w:val="nil"/>
              <w:bottom w:val="single" w:sz="4" w:space="0" w:color="auto"/>
              <w:right w:val="single" w:sz="4" w:space="0" w:color="auto"/>
            </w:tcBorders>
            <w:shd w:val="clear" w:color="auto" w:fill="auto"/>
            <w:vAlign w:val="center"/>
          </w:tcPr>
          <w:p w14:paraId="5705F681"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686,0</w:t>
            </w:r>
          </w:p>
        </w:tc>
        <w:tc>
          <w:tcPr>
            <w:tcW w:w="1802" w:type="dxa"/>
            <w:tcBorders>
              <w:top w:val="nil"/>
              <w:left w:val="nil"/>
              <w:bottom w:val="single" w:sz="4" w:space="0" w:color="auto"/>
              <w:right w:val="single" w:sz="4" w:space="0" w:color="auto"/>
            </w:tcBorders>
            <w:shd w:val="clear" w:color="auto" w:fill="auto"/>
            <w:vAlign w:val="center"/>
          </w:tcPr>
          <w:p w14:paraId="1ACE852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664,0</w:t>
            </w:r>
          </w:p>
        </w:tc>
        <w:tc>
          <w:tcPr>
            <w:tcW w:w="1099" w:type="dxa"/>
            <w:tcBorders>
              <w:top w:val="nil"/>
              <w:left w:val="nil"/>
              <w:bottom w:val="single" w:sz="4" w:space="0" w:color="auto"/>
              <w:right w:val="single" w:sz="4" w:space="0" w:color="auto"/>
            </w:tcBorders>
            <w:shd w:val="clear" w:color="000000" w:fill="92D050"/>
            <w:vAlign w:val="center"/>
          </w:tcPr>
          <w:p w14:paraId="7FD6541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5C66233E"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2A87BF0C" w14:textId="77777777" w:rsidTr="00E06E22">
        <w:trPr>
          <w:trHeight w:val="600"/>
          <w:jc w:val="center"/>
        </w:trPr>
        <w:tc>
          <w:tcPr>
            <w:tcW w:w="4759" w:type="dxa"/>
            <w:tcBorders>
              <w:top w:val="nil"/>
              <w:left w:val="single" w:sz="4" w:space="0" w:color="auto"/>
              <w:bottom w:val="single" w:sz="4" w:space="0" w:color="auto"/>
              <w:right w:val="single" w:sz="4" w:space="0" w:color="auto"/>
            </w:tcBorders>
            <w:shd w:val="clear" w:color="auto" w:fill="auto"/>
            <w:vAlign w:val="center"/>
          </w:tcPr>
          <w:p w14:paraId="509CA16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xml:space="preserve">Tasso di copertura flusso </w:t>
            </w:r>
            <w:proofErr w:type="spellStart"/>
            <w:r>
              <w:rPr>
                <w:rFonts w:asciiTheme="minorHAnsi" w:hAnsiTheme="minorHAnsi" w:cs="Times New Roman"/>
                <w:color w:val="000000"/>
                <w:sz w:val="20"/>
                <w:lang w:eastAsia="it-IT" w:bidi="ar-SA"/>
              </w:rPr>
              <w:t>DiMe</w:t>
            </w:r>
            <w:proofErr w:type="spellEnd"/>
            <w:r>
              <w:rPr>
                <w:rFonts w:asciiTheme="minorHAnsi" w:hAnsiTheme="minorHAnsi" w:cs="Times New Roman"/>
                <w:color w:val="000000"/>
                <w:sz w:val="20"/>
                <w:lang w:eastAsia="it-IT" w:bidi="ar-SA"/>
              </w:rPr>
              <w:t xml:space="preserve"> sul conto economico corretto per gestione magazzini unici</w:t>
            </w:r>
          </w:p>
        </w:tc>
        <w:tc>
          <w:tcPr>
            <w:tcW w:w="760" w:type="dxa"/>
            <w:tcBorders>
              <w:top w:val="nil"/>
              <w:left w:val="nil"/>
              <w:bottom w:val="single" w:sz="4" w:space="0" w:color="auto"/>
              <w:right w:val="single" w:sz="4" w:space="0" w:color="auto"/>
            </w:tcBorders>
            <w:shd w:val="clear" w:color="auto" w:fill="auto"/>
            <w:vAlign w:val="center"/>
          </w:tcPr>
          <w:p w14:paraId="23E80219"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95,7</w:t>
            </w:r>
          </w:p>
        </w:tc>
        <w:tc>
          <w:tcPr>
            <w:tcW w:w="1280" w:type="dxa"/>
            <w:tcBorders>
              <w:top w:val="nil"/>
              <w:left w:val="nil"/>
              <w:bottom w:val="single" w:sz="4" w:space="0" w:color="auto"/>
              <w:right w:val="single" w:sz="4" w:space="0" w:color="auto"/>
            </w:tcBorders>
            <w:shd w:val="clear" w:color="auto" w:fill="auto"/>
            <w:vAlign w:val="center"/>
          </w:tcPr>
          <w:p w14:paraId="16A5363A"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87,3</w:t>
            </w:r>
          </w:p>
        </w:tc>
        <w:tc>
          <w:tcPr>
            <w:tcW w:w="1802" w:type="dxa"/>
            <w:tcBorders>
              <w:top w:val="nil"/>
              <w:left w:val="nil"/>
              <w:bottom w:val="single" w:sz="4" w:space="0" w:color="auto"/>
              <w:right w:val="single" w:sz="4" w:space="0" w:color="auto"/>
            </w:tcBorders>
            <w:shd w:val="clear" w:color="auto" w:fill="auto"/>
            <w:vAlign w:val="center"/>
          </w:tcPr>
          <w:p w14:paraId="5B1E0AF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101,3</w:t>
            </w:r>
          </w:p>
        </w:tc>
        <w:tc>
          <w:tcPr>
            <w:tcW w:w="1099" w:type="dxa"/>
            <w:tcBorders>
              <w:top w:val="nil"/>
              <w:left w:val="nil"/>
              <w:bottom w:val="single" w:sz="4" w:space="0" w:color="auto"/>
              <w:right w:val="single" w:sz="4" w:space="0" w:color="auto"/>
            </w:tcBorders>
            <w:shd w:val="clear" w:color="000000" w:fill="00B050"/>
            <w:vAlign w:val="center"/>
          </w:tcPr>
          <w:p w14:paraId="2A96780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69883C8C" w14:textId="77777777" w:rsidR="00E27519" w:rsidRDefault="0003178C">
            <w:pPr>
              <w:suppressAutoHyphens w:val="0"/>
              <w:spacing w:before="0"/>
              <w:jc w:val="center"/>
              <w:rPr>
                <w:rFonts w:asciiTheme="minorHAnsi" w:hAnsiTheme="minorHAnsi" w:cs="Times New Roman"/>
                <w:color w:val="00B050"/>
                <w:sz w:val="24"/>
                <w:lang w:eastAsia="it-IT" w:bidi="ar-SA"/>
              </w:rPr>
            </w:pPr>
            <w:r>
              <w:rPr>
                <w:rFonts w:asciiTheme="minorHAnsi" w:hAnsiTheme="minorHAnsi" w:cs="Times New Roman"/>
                <w:color w:val="00B050"/>
                <w:sz w:val="24"/>
                <w:lang w:eastAsia="it-IT" w:bidi="ar-SA"/>
              </w:rPr>
              <w:t>↑</w:t>
            </w:r>
          </w:p>
        </w:tc>
      </w:tr>
      <w:tr w:rsidR="00E27519" w14:paraId="75F42AF1" w14:textId="77777777" w:rsidTr="00E06E22">
        <w:trPr>
          <w:trHeight w:val="600"/>
          <w:jc w:val="center"/>
        </w:trPr>
        <w:tc>
          <w:tcPr>
            <w:tcW w:w="4759" w:type="dxa"/>
            <w:tcBorders>
              <w:top w:val="nil"/>
              <w:left w:val="single" w:sz="4" w:space="0" w:color="auto"/>
              <w:bottom w:val="single" w:sz="4" w:space="0" w:color="auto"/>
              <w:right w:val="single" w:sz="4" w:space="0" w:color="auto"/>
            </w:tcBorders>
            <w:shd w:val="clear" w:color="auto" w:fill="auto"/>
            <w:vAlign w:val="center"/>
          </w:tcPr>
          <w:p w14:paraId="34B8F053"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di consumo di molecole non coperte da brevetto e presenti nelle liste di trasparenza</w:t>
            </w:r>
          </w:p>
        </w:tc>
        <w:tc>
          <w:tcPr>
            <w:tcW w:w="760" w:type="dxa"/>
            <w:tcBorders>
              <w:top w:val="nil"/>
              <w:left w:val="nil"/>
              <w:bottom w:val="single" w:sz="4" w:space="0" w:color="auto"/>
              <w:right w:val="single" w:sz="4" w:space="0" w:color="auto"/>
            </w:tcBorders>
            <w:shd w:val="clear" w:color="auto" w:fill="auto"/>
            <w:vAlign w:val="center"/>
          </w:tcPr>
          <w:p w14:paraId="35E86623"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79,6</w:t>
            </w:r>
          </w:p>
        </w:tc>
        <w:tc>
          <w:tcPr>
            <w:tcW w:w="1280" w:type="dxa"/>
            <w:tcBorders>
              <w:top w:val="nil"/>
              <w:left w:val="nil"/>
              <w:bottom w:val="single" w:sz="4" w:space="0" w:color="auto"/>
              <w:right w:val="single" w:sz="4" w:space="0" w:color="auto"/>
            </w:tcBorders>
            <w:shd w:val="clear" w:color="auto" w:fill="auto"/>
            <w:vAlign w:val="center"/>
          </w:tcPr>
          <w:p w14:paraId="2FA3193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79,4</w:t>
            </w:r>
          </w:p>
        </w:tc>
        <w:tc>
          <w:tcPr>
            <w:tcW w:w="1802" w:type="dxa"/>
            <w:tcBorders>
              <w:top w:val="nil"/>
              <w:left w:val="nil"/>
              <w:bottom w:val="single" w:sz="4" w:space="0" w:color="auto"/>
              <w:right w:val="single" w:sz="4" w:space="0" w:color="auto"/>
            </w:tcBorders>
            <w:shd w:val="clear" w:color="auto" w:fill="auto"/>
            <w:vAlign w:val="center"/>
          </w:tcPr>
          <w:p w14:paraId="1F0B3E4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78,8</w:t>
            </w:r>
          </w:p>
        </w:tc>
        <w:tc>
          <w:tcPr>
            <w:tcW w:w="1099" w:type="dxa"/>
            <w:tcBorders>
              <w:top w:val="nil"/>
              <w:left w:val="nil"/>
              <w:bottom w:val="single" w:sz="4" w:space="0" w:color="auto"/>
              <w:right w:val="single" w:sz="4" w:space="0" w:color="auto"/>
            </w:tcBorders>
            <w:shd w:val="clear" w:color="000000" w:fill="FFC000"/>
            <w:vAlign w:val="center"/>
          </w:tcPr>
          <w:p w14:paraId="0D6107D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5E762848"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110F0FB3" w14:textId="77777777" w:rsidTr="00E06E22">
        <w:trPr>
          <w:trHeight w:val="420"/>
          <w:jc w:val="center"/>
        </w:trPr>
        <w:tc>
          <w:tcPr>
            <w:tcW w:w="4759" w:type="dxa"/>
            <w:tcBorders>
              <w:top w:val="nil"/>
              <w:left w:val="single" w:sz="4" w:space="0" w:color="auto"/>
              <w:bottom w:val="single" w:sz="4" w:space="0" w:color="auto"/>
              <w:right w:val="single" w:sz="4" w:space="0" w:color="auto"/>
            </w:tcBorders>
            <w:shd w:val="clear" w:color="auto" w:fill="auto"/>
            <w:vAlign w:val="center"/>
          </w:tcPr>
          <w:p w14:paraId="3320691F"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Spesa farmaceutica territoriale pro-capite</w:t>
            </w:r>
          </w:p>
        </w:tc>
        <w:tc>
          <w:tcPr>
            <w:tcW w:w="760" w:type="dxa"/>
            <w:tcBorders>
              <w:top w:val="nil"/>
              <w:left w:val="nil"/>
              <w:bottom w:val="single" w:sz="4" w:space="0" w:color="auto"/>
              <w:right w:val="single" w:sz="4" w:space="0" w:color="auto"/>
            </w:tcBorders>
            <w:shd w:val="clear" w:color="auto" w:fill="auto"/>
            <w:vAlign w:val="center"/>
          </w:tcPr>
          <w:p w14:paraId="7D6D909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158,6</w:t>
            </w:r>
          </w:p>
        </w:tc>
        <w:tc>
          <w:tcPr>
            <w:tcW w:w="1280" w:type="dxa"/>
            <w:tcBorders>
              <w:top w:val="nil"/>
              <w:left w:val="nil"/>
              <w:bottom w:val="single" w:sz="4" w:space="0" w:color="auto"/>
              <w:right w:val="single" w:sz="4" w:space="0" w:color="auto"/>
            </w:tcBorders>
            <w:shd w:val="clear" w:color="auto" w:fill="auto"/>
            <w:vAlign w:val="center"/>
          </w:tcPr>
          <w:p w14:paraId="6F51ECB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163,2</w:t>
            </w:r>
          </w:p>
        </w:tc>
        <w:tc>
          <w:tcPr>
            <w:tcW w:w="1802" w:type="dxa"/>
            <w:tcBorders>
              <w:top w:val="nil"/>
              <w:left w:val="nil"/>
              <w:bottom w:val="single" w:sz="4" w:space="0" w:color="auto"/>
              <w:right w:val="single" w:sz="4" w:space="0" w:color="auto"/>
            </w:tcBorders>
            <w:shd w:val="clear" w:color="auto" w:fill="auto"/>
            <w:vAlign w:val="center"/>
          </w:tcPr>
          <w:p w14:paraId="34F40BDE"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163,8</w:t>
            </w:r>
          </w:p>
        </w:tc>
        <w:tc>
          <w:tcPr>
            <w:tcW w:w="1099" w:type="dxa"/>
            <w:tcBorders>
              <w:top w:val="nil"/>
              <w:left w:val="nil"/>
              <w:bottom w:val="single" w:sz="4" w:space="0" w:color="auto"/>
              <w:right w:val="single" w:sz="4" w:space="0" w:color="auto"/>
            </w:tcBorders>
            <w:shd w:val="clear" w:color="000000" w:fill="92D050"/>
            <w:vAlign w:val="center"/>
          </w:tcPr>
          <w:p w14:paraId="11780B3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4552B5A3" w14:textId="77777777" w:rsidR="00E27519" w:rsidRDefault="0003178C">
            <w:pPr>
              <w:suppressAutoHyphens w:val="0"/>
              <w:spacing w:before="0"/>
              <w:jc w:val="center"/>
              <w:rPr>
                <w:rFonts w:asciiTheme="minorHAnsi" w:hAnsiTheme="minorHAnsi" w:cs="Times New Roman"/>
                <w:color w:val="FF0000"/>
                <w:sz w:val="24"/>
                <w:lang w:eastAsia="it-IT" w:bidi="ar-SA"/>
              </w:rPr>
            </w:pPr>
            <w:r>
              <w:rPr>
                <w:rFonts w:asciiTheme="minorHAnsi" w:hAnsiTheme="minorHAnsi" w:cs="Times New Roman"/>
                <w:color w:val="FF0000"/>
                <w:sz w:val="24"/>
                <w:lang w:eastAsia="it-IT" w:bidi="ar-SA"/>
              </w:rPr>
              <w:t>↓</w:t>
            </w:r>
          </w:p>
        </w:tc>
      </w:tr>
      <w:tr w:rsidR="00E27519" w14:paraId="10E70EB7" w14:textId="77777777" w:rsidTr="00E06E22">
        <w:trPr>
          <w:trHeight w:val="300"/>
          <w:jc w:val="center"/>
        </w:trPr>
        <w:tc>
          <w:tcPr>
            <w:tcW w:w="4759" w:type="dxa"/>
            <w:tcBorders>
              <w:top w:val="nil"/>
              <w:left w:val="single" w:sz="4" w:space="0" w:color="auto"/>
              <w:bottom w:val="single" w:sz="4" w:space="0" w:color="auto"/>
              <w:right w:val="single" w:sz="4" w:space="0" w:color="auto"/>
            </w:tcBorders>
            <w:shd w:val="clear" w:color="auto" w:fill="auto"/>
            <w:vAlign w:val="center"/>
          </w:tcPr>
          <w:p w14:paraId="09DA0592"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Spesa farmaceutica ospedaliera per punto DRG</w:t>
            </w:r>
          </w:p>
        </w:tc>
        <w:tc>
          <w:tcPr>
            <w:tcW w:w="760" w:type="dxa"/>
            <w:tcBorders>
              <w:top w:val="nil"/>
              <w:left w:val="nil"/>
              <w:bottom w:val="single" w:sz="4" w:space="0" w:color="auto"/>
              <w:right w:val="single" w:sz="4" w:space="0" w:color="auto"/>
            </w:tcBorders>
            <w:shd w:val="clear" w:color="auto" w:fill="auto"/>
            <w:vAlign w:val="center"/>
          </w:tcPr>
          <w:p w14:paraId="0C1466B8"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281,8</w:t>
            </w:r>
          </w:p>
        </w:tc>
        <w:tc>
          <w:tcPr>
            <w:tcW w:w="1280" w:type="dxa"/>
            <w:tcBorders>
              <w:top w:val="nil"/>
              <w:left w:val="nil"/>
              <w:bottom w:val="single" w:sz="4" w:space="0" w:color="auto"/>
              <w:right w:val="single" w:sz="4" w:space="0" w:color="auto"/>
            </w:tcBorders>
            <w:shd w:val="clear" w:color="auto" w:fill="auto"/>
            <w:vAlign w:val="center"/>
          </w:tcPr>
          <w:p w14:paraId="05B5488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253,3</w:t>
            </w:r>
          </w:p>
        </w:tc>
        <w:tc>
          <w:tcPr>
            <w:tcW w:w="1802" w:type="dxa"/>
            <w:tcBorders>
              <w:top w:val="nil"/>
              <w:left w:val="nil"/>
              <w:bottom w:val="single" w:sz="4" w:space="0" w:color="auto"/>
              <w:right w:val="single" w:sz="4" w:space="0" w:color="auto"/>
            </w:tcBorders>
            <w:shd w:val="clear" w:color="auto" w:fill="auto"/>
            <w:vAlign w:val="center"/>
          </w:tcPr>
          <w:p w14:paraId="16AD53C5"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249,7</w:t>
            </w:r>
          </w:p>
        </w:tc>
        <w:tc>
          <w:tcPr>
            <w:tcW w:w="1099" w:type="dxa"/>
            <w:tcBorders>
              <w:top w:val="nil"/>
              <w:left w:val="nil"/>
              <w:bottom w:val="single" w:sz="4" w:space="0" w:color="auto"/>
              <w:right w:val="single" w:sz="4" w:space="0" w:color="auto"/>
            </w:tcBorders>
            <w:shd w:val="clear" w:color="000000" w:fill="0070C0"/>
            <w:vAlign w:val="center"/>
          </w:tcPr>
          <w:p w14:paraId="12735A6D"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6E60C15D"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r w:rsidR="00E27519" w14:paraId="41F85AB3" w14:textId="77777777" w:rsidTr="00E06E22">
        <w:trPr>
          <w:trHeight w:val="300"/>
          <w:jc w:val="center"/>
        </w:trPr>
        <w:tc>
          <w:tcPr>
            <w:tcW w:w="4759" w:type="dxa"/>
            <w:tcBorders>
              <w:top w:val="nil"/>
              <w:left w:val="single" w:sz="4" w:space="0" w:color="auto"/>
              <w:bottom w:val="single" w:sz="4" w:space="0" w:color="auto"/>
              <w:right w:val="single" w:sz="4" w:space="0" w:color="auto"/>
            </w:tcBorders>
            <w:shd w:val="clear" w:color="auto" w:fill="auto"/>
            <w:vAlign w:val="center"/>
          </w:tcPr>
          <w:p w14:paraId="0B2C34C3" w14:textId="77777777" w:rsidR="00E27519" w:rsidRDefault="0003178C">
            <w:pPr>
              <w:suppressAutoHyphens w:val="0"/>
              <w:spacing w:before="0"/>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Indicatore annuale di tempestività dei pagamenti</w:t>
            </w:r>
          </w:p>
        </w:tc>
        <w:tc>
          <w:tcPr>
            <w:tcW w:w="760" w:type="dxa"/>
            <w:tcBorders>
              <w:top w:val="nil"/>
              <w:left w:val="nil"/>
              <w:bottom w:val="single" w:sz="4" w:space="0" w:color="auto"/>
              <w:right w:val="single" w:sz="4" w:space="0" w:color="auto"/>
            </w:tcBorders>
            <w:shd w:val="clear" w:color="auto" w:fill="auto"/>
            <w:vAlign w:val="center"/>
          </w:tcPr>
          <w:p w14:paraId="39F0CBBF"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w:t>
            </w:r>
          </w:p>
        </w:tc>
        <w:tc>
          <w:tcPr>
            <w:tcW w:w="1280" w:type="dxa"/>
            <w:tcBorders>
              <w:top w:val="nil"/>
              <w:left w:val="nil"/>
              <w:bottom w:val="single" w:sz="4" w:space="0" w:color="auto"/>
              <w:right w:val="single" w:sz="4" w:space="0" w:color="auto"/>
            </w:tcBorders>
            <w:shd w:val="clear" w:color="auto" w:fill="auto"/>
            <w:vAlign w:val="center"/>
          </w:tcPr>
          <w:p w14:paraId="65C52CFC"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41,0</w:t>
            </w:r>
          </w:p>
        </w:tc>
        <w:tc>
          <w:tcPr>
            <w:tcW w:w="1802" w:type="dxa"/>
            <w:tcBorders>
              <w:top w:val="nil"/>
              <w:left w:val="nil"/>
              <w:bottom w:val="single" w:sz="4" w:space="0" w:color="auto"/>
              <w:right w:val="single" w:sz="4" w:space="0" w:color="auto"/>
            </w:tcBorders>
            <w:shd w:val="clear" w:color="auto" w:fill="auto"/>
            <w:vAlign w:val="center"/>
          </w:tcPr>
          <w:p w14:paraId="585BAE24"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12,0</w:t>
            </w:r>
          </w:p>
        </w:tc>
        <w:tc>
          <w:tcPr>
            <w:tcW w:w="1099" w:type="dxa"/>
            <w:tcBorders>
              <w:top w:val="nil"/>
              <w:left w:val="nil"/>
              <w:bottom w:val="single" w:sz="4" w:space="0" w:color="auto"/>
              <w:right w:val="single" w:sz="4" w:space="0" w:color="auto"/>
            </w:tcBorders>
            <w:shd w:val="clear" w:color="000000" w:fill="0070C0"/>
            <w:vAlign w:val="center"/>
          </w:tcPr>
          <w:p w14:paraId="503478D0" w14:textId="77777777" w:rsidR="00E27519" w:rsidRDefault="0003178C">
            <w:pPr>
              <w:suppressAutoHyphens w:val="0"/>
              <w:spacing w:before="0"/>
              <w:jc w:val="center"/>
              <w:rPr>
                <w:rFonts w:asciiTheme="minorHAnsi" w:hAnsiTheme="minorHAnsi" w:cs="Times New Roman"/>
                <w:color w:val="000000"/>
                <w:sz w:val="20"/>
                <w:lang w:eastAsia="it-IT" w:bidi="ar-SA"/>
              </w:rPr>
            </w:pPr>
            <w:r>
              <w:rPr>
                <w:rFonts w:asciiTheme="minorHAnsi" w:hAnsiTheme="minorHAnsi" w:cs="Times New Roman"/>
                <w:color w:val="000000"/>
                <w:sz w:val="20"/>
                <w:lang w:eastAsia="it-IT" w:bidi="ar-SA"/>
              </w:rPr>
              <w:t> </w:t>
            </w:r>
          </w:p>
        </w:tc>
        <w:tc>
          <w:tcPr>
            <w:tcW w:w="640" w:type="dxa"/>
            <w:tcBorders>
              <w:top w:val="nil"/>
              <w:left w:val="nil"/>
              <w:bottom w:val="single" w:sz="4" w:space="0" w:color="auto"/>
              <w:right w:val="single" w:sz="4" w:space="0" w:color="auto"/>
            </w:tcBorders>
            <w:shd w:val="clear" w:color="auto" w:fill="auto"/>
            <w:vAlign w:val="center"/>
          </w:tcPr>
          <w:p w14:paraId="080BA652" w14:textId="77777777" w:rsidR="00E27519" w:rsidRDefault="0003178C">
            <w:pPr>
              <w:suppressAutoHyphens w:val="0"/>
              <w:spacing w:before="0"/>
              <w:jc w:val="center"/>
              <w:rPr>
                <w:rFonts w:asciiTheme="minorHAnsi" w:hAnsiTheme="minorHAnsi" w:cs="Times New Roman"/>
                <w:color w:val="000000"/>
                <w:sz w:val="24"/>
                <w:lang w:eastAsia="it-IT" w:bidi="ar-SA"/>
              </w:rPr>
            </w:pPr>
            <w:r>
              <w:rPr>
                <w:rFonts w:asciiTheme="minorHAnsi" w:hAnsiTheme="minorHAnsi" w:cs="Times New Roman"/>
                <w:color w:val="000000"/>
                <w:sz w:val="24"/>
                <w:lang w:eastAsia="it-IT" w:bidi="ar-SA"/>
              </w:rPr>
              <w:t>-</w:t>
            </w:r>
          </w:p>
        </w:tc>
      </w:tr>
    </w:tbl>
    <w:p w14:paraId="6FBC66BB" w14:textId="77777777" w:rsidR="00E27519" w:rsidRDefault="0003178C">
      <w:pPr>
        <w:ind w:right="284"/>
        <w:jc w:val="both"/>
        <w:rPr>
          <w:rFonts w:asciiTheme="minorHAnsi" w:eastAsia="Calibri" w:hAnsiTheme="minorHAnsi"/>
          <w:sz w:val="16"/>
          <w:lang w:eastAsia="en-US"/>
        </w:rPr>
      </w:pPr>
      <w:r>
        <w:rPr>
          <w:rFonts w:eastAsia="Calibri"/>
          <w:sz w:val="16"/>
          <w:lang w:eastAsia="en-US"/>
        </w:rPr>
        <w:t xml:space="preserve">Fonte: Regione Emilia Romagna, SIVER, 2016. </w:t>
      </w:r>
      <w:hyperlink r:id="rId36" w:history="1">
        <w:r>
          <w:rPr>
            <w:rStyle w:val="Collegamentoipertestuale"/>
            <w:rFonts w:eastAsia="Calibri"/>
            <w:sz w:val="16"/>
            <w:lang w:eastAsia="en-US"/>
          </w:rPr>
          <w:t>http://salute.regione.emilia-romagna.it/siseps/siver</w:t>
        </w:r>
      </w:hyperlink>
      <w:r>
        <w:rPr>
          <w:rFonts w:eastAsia="Calibri"/>
          <w:sz w:val="16"/>
          <w:lang w:eastAsia="en-US"/>
        </w:rPr>
        <w:t xml:space="preserve">. </w:t>
      </w:r>
    </w:p>
    <w:p w14:paraId="29BE0EBE" w14:textId="4C3E0FED" w:rsidR="00E27519" w:rsidRDefault="00E06E22">
      <w:pPr>
        <w:ind w:right="284"/>
        <w:jc w:val="both"/>
        <w:rPr>
          <w:rFonts w:eastAsia="Calibri"/>
          <w:sz w:val="20"/>
          <w:lang w:eastAsia="en-US"/>
        </w:rPr>
      </w:pPr>
      <w:r w:rsidRPr="00E06E22">
        <w:rPr>
          <w:rFonts w:eastAsia="Calibri"/>
          <w:sz w:val="20"/>
          <w:lang w:eastAsia="en-US"/>
        </w:rPr>
        <w:t xml:space="preserve">Il costo pro capite totale indicato nella tabella si riferisce al 2015 (ultimo anno disponibile) e indica l’allineamento al dato medio regionale; tale indicatore si completa con quello inclusivo dell’integrazione AO/AOU/IRCSS, che aumenta il costo </w:t>
      </w:r>
      <w:proofErr w:type="spellStart"/>
      <w:r w:rsidRPr="00E06E22">
        <w:rPr>
          <w:rFonts w:eastAsia="Calibri"/>
          <w:sz w:val="20"/>
          <w:lang w:eastAsia="en-US"/>
        </w:rPr>
        <w:t>procapite</w:t>
      </w:r>
      <w:proofErr w:type="spellEnd"/>
      <w:r w:rsidRPr="00E06E22">
        <w:rPr>
          <w:rFonts w:eastAsia="Calibri"/>
          <w:sz w:val="20"/>
          <w:lang w:eastAsia="en-US"/>
        </w:rPr>
        <w:t xml:space="preserve"> totale a €1.831 per l’AUSL Modena, a fronte di €1</w:t>
      </w:r>
      <w:r>
        <w:rPr>
          <w:rFonts w:eastAsia="Calibri"/>
          <w:sz w:val="20"/>
          <w:lang w:eastAsia="en-US"/>
        </w:rPr>
        <w:t>.844</w:t>
      </w:r>
      <w:r w:rsidRPr="00E06E22">
        <w:rPr>
          <w:rFonts w:eastAsia="Calibri"/>
          <w:sz w:val="20"/>
          <w:lang w:eastAsia="en-US"/>
        </w:rPr>
        <w:t xml:space="preserve"> medio della RER. </w:t>
      </w:r>
      <w:r>
        <w:rPr>
          <w:rFonts w:eastAsia="Calibri"/>
          <w:sz w:val="20"/>
          <w:lang w:eastAsia="en-US"/>
        </w:rPr>
        <w:t>Evidenziando un posizionamento virtuoso del territorio modenese.</w:t>
      </w:r>
    </w:p>
    <w:p w14:paraId="03F5E552" w14:textId="77777777" w:rsidR="00E06E22" w:rsidRPr="00E06E22" w:rsidRDefault="00E06E22">
      <w:pPr>
        <w:ind w:right="284"/>
        <w:jc w:val="both"/>
        <w:rPr>
          <w:rFonts w:eastAsia="Calibri"/>
          <w:sz w:val="20"/>
          <w:lang w:eastAsia="en-US"/>
        </w:rPr>
      </w:pPr>
    </w:p>
    <w:p w14:paraId="7B485DC5" w14:textId="77777777" w:rsidR="00E27519" w:rsidRDefault="0003178C">
      <w:pPr>
        <w:pStyle w:val="Titolo3Verdana"/>
        <w:rPr>
          <w:rFonts w:asciiTheme="minorHAnsi" w:eastAsia="Calibri" w:hAnsiTheme="minorHAnsi"/>
        </w:rPr>
      </w:pPr>
      <w:bookmarkStart w:id="41" w:name="_Toc486415649"/>
      <w:r>
        <w:rPr>
          <w:rFonts w:asciiTheme="minorHAnsi" w:eastAsia="Calibri" w:hAnsiTheme="minorHAnsi"/>
          <w:lang w:val="it-IT"/>
        </w:rPr>
        <w:t>6</w:t>
      </w:r>
      <w:r>
        <w:rPr>
          <w:rFonts w:asciiTheme="minorHAnsi" w:eastAsia="Calibri" w:hAnsiTheme="minorHAnsi"/>
        </w:rPr>
        <w:t>.2 Posizionamento PNE – Treemap edizione 2016</w:t>
      </w:r>
      <w:bookmarkEnd w:id="41"/>
    </w:p>
    <w:p w14:paraId="22424B19" w14:textId="77777777" w:rsidR="00E27519" w:rsidRDefault="0003178C">
      <w:pPr>
        <w:ind w:right="284"/>
        <w:jc w:val="both"/>
        <w:rPr>
          <w:rFonts w:eastAsia="Calibri"/>
          <w:sz w:val="20"/>
          <w:lang w:eastAsia="en-US"/>
        </w:rPr>
      </w:pPr>
      <w:r>
        <w:rPr>
          <w:rFonts w:eastAsia="Calibri"/>
          <w:sz w:val="20"/>
          <w:lang w:eastAsia="en-US"/>
        </w:rPr>
        <w:t xml:space="preserve">Un ulteriore sistema di valutazione, in questo caso a livello nazionale, considera il posizionamento in relazione agli esiti conseguiti dagli interventi/azioni erogati dall’azienda. Gli indicatori rappresentati nel </w:t>
      </w:r>
      <w:proofErr w:type="spellStart"/>
      <w:r>
        <w:rPr>
          <w:rFonts w:eastAsia="Calibri"/>
          <w:sz w:val="20"/>
          <w:lang w:eastAsia="en-US"/>
        </w:rPr>
        <w:t>Treemap</w:t>
      </w:r>
      <w:proofErr w:type="spellEnd"/>
      <w:r>
        <w:rPr>
          <w:rFonts w:eastAsia="Calibri"/>
          <w:sz w:val="20"/>
          <w:lang w:eastAsia="en-US"/>
        </w:rPr>
        <w:t xml:space="preserve"> del Piano Nazionale Esiti (PNE) mettono in evidenza i livelli di aderenza a standard di qualità degli ospedali (Verde – Molto Alto; Verdino – Alto; Giallo – Medio; Arancione – Basso; Rosso – Molto Basso). L’area del quadrato è proporzionale al volume di attività. </w:t>
      </w:r>
    </w:p>
    <w:p w14:paraId="6447D3B9" w14:textId="77777777" w:rsidR="00E27519" w:rsidRDefault="0003178C">
      <w:pPr>
        <w:spacing w:before="0"/>
        <w:jc w:val="both"/>
        <w:rPr>
          <w:rFonts w:eastAsia="Calibri"/>
          <w:b/>
          <w:sz w:val="20"/>
          <w:lang w:eastAsia="en-US"/>
        </w:rPr>
      </w:pPr>
      <w:r>
        <w:rPr>
          <w:rFonts w:eastAsia="Calibri"/>
          <w:b/>
          <w:noProof/>
          <w:sz w:val="20"/>
          <w:lang w:eastAsia="it-IT" w:bidi="ar-SA"/>
        </w:rPr>
        <w:lastRenderedPageBreak/>
        <w:drawing>
          <wp:inline distT="0" distB="0" distL="0" distR="0" wp14:anchorId="3D49A0BE" wp14:editId="4CA86CB8">
            <wp:extent cx="4197985" cy="365887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217151" cy="3675374"/>
                    </a:xfrm>
                    <a:prstGeom prst="rect">
                      <a:avLst/>
                    </a:prstGeom>
                    <a:noFill/>
                  </pic:spPr>
                </pic:pic>
              </a:graphicData>
            </a:graphic>
          </wp:inline>
        </w:drawing>
      </w:r>
    </w:p>
    <w:p w14:paraId="329251A6" w14:textId="77777777" w:rsidR="00E27519" w:rsidRDefault="0003178C">
      <w:pPr>
        <w:ind w:right="284"/>
        <w:jc w:val="both"/>
        <w:rPr>
          <w:rFonts w:eastAsia="Calibri"/>
          <w:sz w:val="16"/>
          <w:lang w:eastAsia="en-US"/>
        </w:rPr>
      </w:pPr>
      <w:r>
        <w:rPr>
          <w:rFonts w:eastAsia="Calibri"/>
          <w:sz w:val="16"/>
          <w:lang w:eastAsia="en-US"/>
        </w:rPr>
        <w:t>Fonte: Programma Nazionale Esiti (PNE) 2016</w:t>
      </w:r>
    </w:p>
    <w:p w14:paraId="3253274B" w14:textId="77777777" w:rsidR="00E27519" w:rsidRDefault="00E27519">
      <w:pPr>
        <w:spacing w:after="120"/>
        <w:contextualSpacing/>
        <w:jc w:val="both"/>
        <w:rPr>
          <w:rFonts w:eastAsia="Calibri"/>
          <w:sz w:val="20"/>
          <w:lang w:eastAsia="en-US"/>
        </w:rPr>
      </w:pPr>
    </w:p>
    <w:p w14:paraId="3B1747DB" w14:textId="77777777" w:rsidR="00E27519" w:rsidRDefault="0003178C">
      <w:pPr>
        <w:ind w:right="284"/>
        <w:jc w:val="both"/>
        <w:rPr>
          <w:rFonts w:eastAsia="Calibri"/>
          <w:sz w:val="20"/>
          <w:lang w:eastAsia="en-US"/>
        </w:rPr>
      </w:pPr>
      <w:r>
        <w:rPr>
          <w:rFonts w:eastAsia="Calibri"/>
          <w:sz w:val="20"/>
          <w:lang w:eastAsia="en-US"/>
        </w:rPr>
        <w:t xml:space="preserve">L’ospedale Ramazzini di Carpi (MO), secondo i dati del PNE, mostra un livello di aderenza agli standard di qualità molto alto per la Gravidanza e Parto, alto per l’apparato Respiratorio, </w:t>
      </w:r>
      <w:proofErr w:type="spellStart"/>
      <w:r>
        <w:rPr>
          <w:rFonts w:eastAsia="Calibri"/>
          <w:sz w:val="20"/>
          <w:lang w:eastAsia="en-US"/>
        </w:rPr>
        <w:t>Osteomuscolare</w:t>
      </w:r>
      <w:proofErr w:type="spellEnd"/>
      <w:r>
        <w:rPr>
          <w:rFonts w:eastAsia="Calibri"/>
          <w:sz w:val="20"/>
          <w:lang w:eastAsia="en-US"/>
        </w:rPr>
        <w:t>, Nervoso, per la Chirurgia Generale e la Chirurgia Oncologica; sono da migliorare gli standard di qualità per l’apparato Cardiocircolatorio.</w:t>
      </w:r>
    </w:p>
    <w:p w14:paraId="072C6DB6" w14:textId="77777777" w:rsidR="00E27519" w:rsidRDefault="0003178C">
      <w:pPr>
        <w:ind w:right="284"/>
        <w:jc w:val="both"/>
        <w:rPr>
          <w:rFonts w:eastAsia="Calibri"/>
          <w:b/>
          <w:sz w:val="20"/>
          <w:lang w:eastAsia="en-US"/>
        </w:rPr>
      </w:pPr>
      <w:r>
        <w:rPr>
          <w:rFonts w:eastAsia="Calibri"/>
          <w:b/>
          <w:noProof/>
          <w:sz w:val="20"/>
          <w:lang w:eastAsia="it-IT" w:bidi="ar-SA"/>
        </w:rPr>
        <w:drawing>
          <wp:inline distT="0" distB="0" distL="0" distR="0" wp14:anchorId="745FA48F" wp14:editId="1438FA5D">
            <wp:extent cx="4182110" cy="3464560"/>
            <wp:effectExtent l="0" t="0" r="8890" b="254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200484" cy="3479758"/>
                    </a:xfrm>
                    <a:prstGeom prst="rect">
                      <a:avLst/>
                    </a:prstGeom>
                    <a:noFill/>
                  </pic:spPr>
                </pic:pic>
              </a:graphicData>
            </a:graphic>
          </wp:inline>
        </w:drawing>
      </w:r>
    </w:p>
    <w:p w14:paraId="4E7987BA" w14:textId="77777777" w:rsidR="00E27519" w:rsidRDefault="0003178C">
      <w:pPr>
        <w:ind w:right="284"/>
        <w:jc w:val="both"/>
        <w:rPr>
          <w:rFonts w:eastAsia="Calibri"/>
          <w:sz w:val="16"/>
          <w:lang w:eastAsia="en-US"/>
        </w:rPr>
      </w:pPr>
      <w:r>
        <w:rPr>
          <w:rFonts w:eastAsia="Calibri"/>
          <w:sz w:val="16"/>
          <w:lang w:eastAsia="en-US"/>
        </w:rPr>
        <w:t>Fonte: Programma Nazionale Esiti (PNE) 2016</w:t>
      </w:r>
    </w:p>
    <w:p w14:paraId="2758D5A5" w14:textId="77777777" w:rsidR="00E27519" w:rsidRDefault="00E27519">
      <w:pPr>
        <w:ind w:right="284"/>
        <w:jc w:val="both"/>
        <w:rPr>
          <w:rFonts w:eastAsia="Calibri"/>
          <w:sz w:val="20"/>
          <w:lang w:eastAsia="en-US"/>
        </w:rPr>
      </w:pPr>
    </w:p>
    <w:p w14:paraId="1608E413" w14:textId="77777777" w:rsidR="00E27519" w:rsidRDefault="0003178C">
      <w:pPr>
        <w:ind w:right="284"/>
        <w:jc w:val="both"/>
        <w:rPr>
          <w:rFonts w:eastAsia="Calibri"/>
          <w:sz w:val="20"/>
          <w:lang w:eastAsia="en-US"/>
        </w:rPr>
      </w:pPr>
      <w:r>
        <w:rPr>
          <w:rFonts w:eastAsia="Calibri"/>
          <w:sz w:val="20"/>
          <w:lang w:eastAsia="en-US"/>
        </w:rPr>
        <w:t xml:space="preserve">L’ospedale S. Maria Bianca di Mirandola (MO), secondo i dati del PNE, mostra un livello di aderenza agli standard di qualità molto alto per l’apparato Respiratorio e per la Chirurgia Generale; sono da migliorare gli standard di qualità per l’apparato Cardiocircolatorio e </w:t>
      </w:r>
      <w:proofErr w:type="spellStart"/>
      <w:r>
        <w:rPr>
          <w:rFonts w:eastAsia="Calibri"/>
          <w:sz w:val="20"/>
          <w:lang w:eastAsia="en-US"/>
        </w:rPr>
        <w:t>Osteomuscolare</w:t>
      </w:r>
      <w:proofErr w:type="spellEnd"/>
      <w:r>
        <w:rPr>
          <w:rFonts w:eastAsia="Calibri"/>
          <w:sz w:val="20"/>
          <w:lang w:eastAsia="en-US"/>
        </w:rPr>
        <w:t xml:space="preserve">; è una criticità il livello di aderenza agli standard di qualità per la Gravidanza e il Parto. Su quest’ultimo punto ricordiamo il progetto “Nascere a Mirandola” avviato nel 2016 di riorganizzazione e rilancio dell’area Parto, dopo la ristrutturazione degli spazi, con il quale si è invertita la tendenza in atto alla riduzione del numero dei parti: maggiore attenzione, maggiore comunicazione alle mamme, anche attraverso un blog dedicato, open </w:t>
      </w:r>
      <w:proofErr w:type="spellStart"/>
      <w:r>
        <w:rPr>
          <w:rFonts w:eastAsia="Calibri"/>
          <w:sz w:val="20"/>
          <w:lang w:eastAsia="en-US"/>
        </w:rPr>
        <w:t>day</w:t>
      </w:r>
      <w:proofErr w:type="spellEnd"/>
      <w:r>
        <w:rPr>
          <w:rFonts w:eastAsia="Calibri"/>
          <w:sz w:val="20"/>
          <w:lang w:eastAsia="en-US"/>
        </w:rPr>
        <w:t xml:space="preserve"> e iniziative di partecipazione dei cittadini.</w:t>
      </w:r>
    </w:p>
    <w:p w14:paraId="6E226B2A" w14:textId="77777777" w:rsidR="00E27519" w:rsidRDefault="00E27519">
      <w:pPr>
        <w:spacing w:before="0"/>
        <w:jc w:val="both"/>
        <w:rPr>
          <w:rFonts w:eastAsia="Calibri"/>
          <w:b/>
          <w:sz w:val="20"/>
          <w:lang w:eastAsia="en-US"/>
        </w:rPr>
      </w:pPr>
    </w:p>
    <w:p w14:paraId="3976284A" w14:textId="77777777" w:rsidR="00E27519" w:rsidRDefault="0003178C">
      <w:pPr>
        <w:spacing w:before="0"/>
        <w:jc w:val="both"/>
        <w:rPr>
          <w:rFonts w:eastAsia="Calibri"/>
          <w:b/>
          <w:sz w:val="20"/>
          <w:lang w:eastAsia="en-US"/>
        </w:rPr>
      </w:pPr>
      <w:r>
        <w:rPr>
          <w:rFonts w:eastAsia="Calibri"/>
          <w:b/>
          <w:noProof/>
          <w:sz w:val="20"/>
          <w:lang w:eastAsia="it-IT" w:bidi="ar-SA"/>
        </w:rPr>
        <w:drawing>
          <wp:inline distT="0" distB="0" distL="0" distR="0" wp14:anchorId="68E9715D" wp14:editId="5EAEE3BC">
            <wp:extent cx="4056380" cy="3362960"/>
            <wp:effectExtent l="0" t="0" r="1270" b="889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66063" cy="3371125"/>
                    </a:xfrm>
                    <a:prstGeom prst="rect">
                      <a:avLst/>
                    </a:prstGeom>
                    <a:noFill/>
                  </pic:spPr>
                </pic:pic>
              </a:graphicData>
            </a:graphic>
          </wp:inline>
        </w:drawing>
      </w:r>
    </w:p>
    <w:p w14:paraId="04F46671" w14:textId="77777777" w:rsidR="00E27519" w:rsidRDefault="0003178C">
      <w:pPr>
        <w:ind w:right="284"/>
        <w:jc w:val="both"/>
        <w:rPr>
          <w:rFonts w:eastAsia="Calibri"/>
          <w:sz w:val="16"/>
          <w:lang w:eastAsia="en-US"/>
        </w:rPr>
      </w:pPr>
      <w:r>
        <w:rPr>
          <w:rFonts w:eastAsia="Calibri"/>
          <w:sz w:val="16"/>
          <w:lang w:eastAsia="en-US"/>
        </w:rPr>
        <w:t>Fonte: Programma Nazionale Esiti (PNE) 2016</w:t>
      </w:r>
    </w:p>
    <w:p w14:paraId="2F0AC270" w14:textId="77777777" w:rsidR="00E27519" w:rsidRDefault="00E27519">
      <w:pPr>
        <w:spacing w:after="120"/>
        <w:contextualSpacing/>
        <w:jc w:val="both"/>
        <w:rPr>
          <w:rFonts w:eastAsia="Calibri"/>
          <w:sz w:val="20"/>
          <w:highlight w:val="green"/>
          <w:lang w:eastAsia="en-US"/>
        </w:rPr>
      </w:pPr>
    </w:p>
    <w:p w14:paraId="4AD1FDCE" w14:textId="77777777" w:rsidR="00E27519" w:rsidRDefault="0003178C">
      <w:pPr>
        <w:ind w:right="284"/>
        <w:jc w:val="both"/>
        <w:rPr>
          <w:rFonts w:eastAsia="Calibri"/>
          <w:sz w:val="20"/>
          <w:lang w:eastAsia="en-US"/>
        </w:rPr>
      </w:pPr>
      <w:r>
        <w:rPr>
          <w:rFonts w:eastAsia="Calibri"/>
          <w:sz w:val="20"/>
          <w:lang w:eastAsia="en-US"/>
        </w:rPr>
        <w:t xml:space="preserve">L’ospedale di Vignola (MO), secondo i dati del PNE, mostra un livello di aderenza agli standard di qualità molto alto per la Chirurgia Generale; un livello alto per l’apparato </w:t>
      </w:r>
      <w:proofErr w:type="spellStart"/>
      <w:r>
        <w:rPr>
          <w:rFonts w:eastAsia="Calibri"/>
          <w:sz w:val="20"/>
          <w:lang w:eastAsia="en-US"/>
        </w:rPr>
        <w:t>Osteomuscolare</w:t>
      </w:r>
      <w:proofErr w:type="spellEnd"/>
      <w:r>
        <w:rPr>
          <w:rFonts w:eastAsia="Calibri"/>
          <w:sz w:val="20"/>
          <w:lang w:eastAsia="en-US"/>
        </w:rPr>
        <w:t xml:space="preserve"> e Cardiocircolatorio; sono da migliorare gli standard di qualità per l’apparato Respiratorio.</w:t>
      </w:r>
    </w:p>
    <w:p w14:paraId="7502ADBC" w14:textId="77777777" w:rsidR="00E27519" w:rsidRDefault="0003178C">
      <w:pPr>
        <w:spacing w:before="0"/>
        <w:jc w:val="both"/>
        <w:rPr>
          <w:rFonts w:asciiTheme="minorHAnsi" w:eastAsia="Calibri" w:hAnsiTheme="minorHAnsi"/>
          <w:b/>
          <w:sz w:val="20"/>
          <w:lang w:eastAsia="en-US"/>
        </w:rPr>
      </w:pPr>
      <w:r>
        <w:rPr>
          <w:rFonts w:asciiTheme="minorHAnsi" w:eastAsia="Calibri" w:hAnsiTheme="minorHAnsi"/>
          <w:b/>
          <w:noProof/>
          <w:sz w:val="20"/>
          <w:lang w:eastAsia="it-IT" w:bidi="ar-SA"/>
        </w:rPr>
        <w:lastRenderedPageBreak/>
        <w:drawing>
          <wp:inline distT="0" distB="0" distL="0" distR="0" wp14:anchorId="76639329" wp14:editId="6511935D">
            <wp:extent cx="3967480" cy="3329305"/>
            <wp:effectExtent l="0" t="0" r="0" b="444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975586" cy="3336268"/>
                    </a:xfrm>
                    <a:prstGeom prst="rect">
                      <a:avLst/>
                    </a:prstGeom>
                    <a:noFill/>
                  </pic:spPr>
                </pic:pic>
              </a:graphicData>
            </a:graphic>
          </wp:inline>
        </w:drawing>
      </w:r>
    </w:p>
    <w:p w14:paraId="02D006B4" w14:textId="77777777" w:rsidR="00E27519" w:rsidRDefault="0003178C">
      <w:pPr>
        <w:ind w:right="284"/>
        <w:jc w:val="both"/>
        <w:rPr>
          <w:rFonts w:eastAsia="Calibri"/>
          <w:sz w:val="16"/>
          <w:lang w:eastAsia="en-US"/>
        </w:rPr>
      </w:pPr>
      <w:r>
        <w:rPr>
          <w:rFonts w:eastAsia="Calibri"/>
          <w:sz w:val="16"/>
          <w:lang w:eastAsia="en-US"/>
        </w:rPr>
        <w:t>Fonte: Programma Nazionale Esiti (PNE) 2016</w:t>
      </w:r>
    </w:p>
    <w:p w14:paraId="019DCF2F" w14:textId="77777777" w:rsidR="00E27519" w:rsidRDefault="0003178C">
      <w:pPr>
        <w:ind w:right="284"/>
        <w:jc w:val="both"/>
        <w:rPr>
          <w:rFonts w:asciiTheme="minorHAnsi" w:eastAsia="Calibri" w:hAnsiTheme="minorHAnsi"/>
          <w:b/>
          <w:sz w:val="20"/>
          <w:lang w:eastAsia="en-US"/>
        </w:rPr>
      </w:pPr>
      <w:r>
        <w:rPr>
          <w:rFonts w:eastAsia="Calibri"/>
          <w:sz w:val="20"/>
          <w:lang w:eastAsia="en-US"/>
        </w:rPr>
        <w:t xml:space="preserve">L’ospedale di Pavullo nel Frignano (MO), secondo i dati del PNE, mostra un livello di aderenza agli standard di qualità molto alto per l’apparato Cardiocircolatorio e Nervoso; un livello alto per l’apparato </w:t>
      </w:r>
      <w:proofErr w:type="spellStart"/>
      <w:r>
        <w:rPr>
          <w:rFonts w:eastAsia="Calibri"/>
          <w:sz w:val="20"/>
          <w:lang w:eastAsia="en-US"/>
        </w:rPr>
        <w:t>Osteomuscolare</w:t>
      </w:r>
      <w:proofErr w:type="spellEnd"/>
      <w:r>
        <w:rPr>
          <w:rFonts w:eastAsia="Calibri"/>
          <w:sz w:val="20"/>
          <w:lang w:eastAsia="en-US"/>
        </w:rPr>
        <w:t>; sono da migliorare gli standard di qualità per l’apparato Respiratorio; mentre sono una criticità gli standard per la Gravidanza e il Parto e per la Chirurgia Generale.</w:t>
      </w:r>
    </w:p>
    <w:p w14:paraId="1E21DC80" w14:textId="77777777" w:rsidR="00E27519" w:rsidRDefault="00E27519">
      <w:pPr>
        <w:spacing w:before="0"/>
        <w:jc w:val="both"/>
        <w:rPr>
          <w:rFonts w:asciiTheme="minorHAnsi" w:eastAsia="Calibri" w:hAnsiTheme="minorHAnsi"/>
          <w:b/>
          <w:sz w:val="20"/>
          <w:lang w:eastAsia="en-US"/>
        </w:rPr>
      </w:pPr>
    </w:p>
    <w:p w14:paraId="1414DB3C" w14:textId="77777777" w:rsidR="00E27519" w:rsidRDefault="0003178C">
      <w:pPr>
        <w:spacing w:before="0"/>
        <w:jc w:val="both"/>
        <w:rPr>
          <w:rFonts w:asciiTheme="minorHAnsi" w:eastAsia="Calibri" w:hAnsiTheme="minorHAnsi"/>
          <w:b/>
          <w:sz w:val="20"/>
          <w:lang w:eastAsia="en-US"/>
        </w:rPr>
      </w:pPr>
      <w:r>
        <w:rPr>
          <w:rFonts w:asciiTheme="minorHAnsi" w:eastAsia="Calibri" w:hAnsiTheme="minorHAnsi"/>
          <w:b/>
          <w:noProof/>
          <w:sz w:val="20"/>
          <w:lang w:eastAsia="it-IT" w:bidi="ar-SA"/>
        </w:rPr>
        <w:drawing>
          <wp:inline distT="0" distB="0" distL="0" distR="0" wp14:anchorId="6E4F4035" wp14:editId="715F20E5">
            <wp:extent cx="3806825" cy="3100705"/>
            <wp:effectExtent l="0" t="0" r="3175" b="444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820322" cy="3111507"/>
                    </a:xfrm>
                    <a:prstGeom prst="rect">
                      <a:avLst/>
                    </a:prstGeom>
                    <a:noFill/>
                  </pic:spPr>
                </pic:pic>
              </a:graphicData>
            </a:graphic>
          </wp:inline>
        </w:drawing>
      </w:r>
    </w:p>
    <w:p w14:paraId="7F2B5117" w14:textId="77777777" w:rsidR="00E27519" w:rsidRDefault="0003178C">
      <w:pPr>
        <w:ind w:right="284"/>
        <w:jc w:val="both"/>
        <w:rPr>
          <w:rFonts w:eastAsia="Calibri"/>
          <w:sz w:val="16"/>
          <w:lang w:eastAsia="en-US"/>
        </w:rPr>
      </w:pPr>
      <w:r>
        <w:rPr>
          <w:rFonts w:eastAsia="Calibri"/>
          <w:sz w:val="16"/>
          <w:lang w:eastAsia="en-US"/>
        </w:rPr>
        <w:t>Fonte: Programma Nazionale Esiti (PNE) 2016</w:t>
      </w:r>
    </w:p>
    <w:p w14:paraId="3BD2E212" w14:textId="77777777" w:rsidR="00E27519" w:rsidRDefault="0003178C">
      <w:pPr>
        <w:ind w:right="284"/>
        <w:jc w:val="both"/>
        <w:rPr>
          <w:rFonts w:eastAsia="Calibri"/>
          <w:sz w:val="20"/>
          <w:lang w:eastAsia="en-US"/>
        </w:rPr>
      </w:pPr>
      <w:r>
        <w:rPr>
          <w:rFonts w:eastAsia="Calibri"/>
          <w:sz w:val="20"/>
          <w:lang w:eastAsia="en-US"/>
        </w:rPr>
        <w:lastRenderedPageBreak/>
        <w:t xml:space="preserve">Il Nuovo Ospedale Civile Sant’Agostino Estense di Modena (MO), secondo i dati del PNE, mostra un livello di aderenza agli standard di qualità molto alto per l’apparato </w:t>
      </w:r>
      <w:proofErr w:type="spellStart"/>
      <w:r>
        <w:rPr>
          <w:rFonts w:eastAsia="Calibri"/>
          <w:sz w:val="20"/>
          <w:lang w:eastAsia="en-US"/>
        </w:rPr>
        <w:t>Osteomuscolare</w:t>
      </w:r>
      <w:proofErr w:type="spellEnd"/>
      <w:r>
        <w:rPr>
          <w:rFonts w:eastAsia="Calibri"/>
          <w:sz w:val="20"/>
          <w:lang w:eastAsia="en-US"/>
        </w:rPr>
        <w:t>; un livello alto per l’apparato Respiratorio, Cardiocircolatorio, Nervoso, per la Chirurgia Generale e per la Chirurgia Oncologica.</w:t>
      </w:r>
    </w:p>
    <w:p w14:paraId="24378E67" w14:textId="77777777" w:rsidR="00E27519" w:rsidRDefault="00E27519">
      <w:pPr>
        <w:ind w:right="284"/>
        <w:jc w:val="both"/>
        <w:rPr>
          <w:rFonts w:eastAsia="Calibri"/>
          <w:sz w:val="20"/>
          <w:lang w:eastAsia="en-US"/>
        </w:rPr>
      </w:pPr>
    </w:p>
    <w:p w14:paraId="025ED24C" w14:textId="77777777" w:rsidR="00E27519" w:rsidRDefault="0003178C">
      <w:pPr>
        <w:pStyle w:val="Titolo3Verdana"/>
        <w:rPr>
          <w:rFonts w:asciiTheme="minorHAnsi" w:eastAsia="Calibri" w:hAnsiTheme="minorHAnsi"/>
          <w:lang w:val="it-IT"/>
        </w:rPr>
      </w:pPr>
      <w:bookmarkStart w:id="42" w:name="_Toc486415650"/>
      <w:r>
        <w:rPr>
          <w:rFonts w:asciiTheme="minorHAnsi" w:eastAsia="Calibri" w:hAnsiTheme="minorHAnsi"/>
          <w:lang w:val="it-IT"/>
        </w:rPr>
        <w:t>6</w:t>
      </w:r>
      <w:r>
        <w:rPr>
          <w:rFonts w:asciiTheme="minorHAnsi" w:eastAsia="Calibri" w:hAnsiTheme="minorHAnsi"/>
        </w:rPr>
        <w:t xml:space="preserve">.3 </w:t>
      </w:r>
      <w:r>
        <w:rPr>
          <w:rFonts w:asciiTheme="minorHAnsi" w:eastAsia="Calibri" w:hAnsiTheme="minorHAnsi"/>
          <w:lang w:val="it-IT"/>
        </w:rPr>
        <w:t>Sistema di Valutazione delle Performance dei Sistemi Sanitari Regionali – Bersaglio 2016</w:t>
      </w:r>
      <w:bookmarkEnd w:id="42"/>
    </w:p>
    <w:p w14:paraId="0AB66F06" w14:textId="77777777" w:rsidR="00E27519" w:rsidRDefault="00E27519">
      <w:pPr>
        <w:ind w:right="284"/>
        <w:jc w:val="both"/>
        <w:rPr>
          <w:rFonts w:eastAsia="Calibri"/>
          <w:sz w:val="20"/>
          <w:lang w:eastAsia="en-US"/>
        </w:rPr>
      </w:pPr>
    </w:p>
    <w:p w14:paraId="13CE029D" w14:textId="77777777" w:rsidR="00E27519" w:rsidRDefault="0003178C">
      <w:pPr>
        <w:ind w:right="284"/>
        <w:jc w:val="both"/>
        <w:rPr>
          <w:rFonts w:asciiTheme="minorHAnsi" w:eastAsia="Calibri" w:hAnsiTheme="minorHAnsi"/>
          <w:b/>
          <w:sz w:val="20"/>
          <w:lang w:eastAsia="en-US"/>
        </w:rPr>
      </w:pPr>
      <w:r>
        <w:rPr>
          <w:rFonts w:asciiTheme="minorHAnsi" w:eastAsia="Calibri" w:hAnsiTheme="minorHAnsi"/>
          <w:b/>
          <w:noProof/>
          <w:sz w:val="20"/>
          <w:lang w:eastAsia="it-IT" w:bidi="ar-SA"/>
        </w:rPr>
        <w:drawing>
          <wp:inline distT="0" distB="0" distL="0" distR="0" wp14:anchorId="697DE3E8" wp14:editId="1D9D18B8">
            <wp:extent cx="6471285" cy="5591810"/>
            <wp:effectExtent l="0" t="0" r="5715"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471285" cy="5591810"/>
                    </a:xfrm>
                    <a:prstGeom prst="rect">
                      <a:avLst/>
                    </a:prstGeom>
                    <a:noFill/>
                    <a:ln>
                      <a:noFill/>
                    </a:ln>
                  </pic:spPr>
                </pic:pic>
              </a:graphicData>
            </a:graphic>
          </wp:inline>
        </w:drawing>
      </w:r>
    </w:p>
    <w:p w14:paraId="61470BCD" w14:textId="77777777" w:rsidR="00E27519" w:rsidRDefault="00E27519">
      <w:pPr>
        <w:spacing w:before="0"/>
        <w:jc w:val="both"/>
        <w:rPr>
          <w:rFonts w:asciiTheme="minorHAnsi" w:eastAsia="Calibri" w:hAnsiTheme="minorHAnsi"/>
          <w:b/>
          <w:sz w:val="20"/>
          <w:lang w:eastAsia="en-US"/>
        </w:rPr>
      </w:pPr>
    </w:p>
    <w:p w14:paraId="7D9CB310" w14:textId="77777777" w:rsidR="00E27519" w:rsidRDefault="00E27519">
      <w:pPr>
        <w:spacing w:before="0"/>
        <w:jc w:val="both"/>
        <w:rPr>
          <w:rFonts w:asciiTheme="minorHAnsi" w:eastAsia="Calibri" w:hAnsiTheme="minorHAnsi"/>
          <w:b/>
          <w:sz w:val="20"/>
          <w:lang w:eastAsia="en-US"/>
        </w:rPr>
      </w:pPr>
    </w:p>
    <w:p w14:paraId="7F8E716F" w14:textId="77777777" w:rsidR="00E27519" w:rsidRDefault="0003178C">
      <w:pPr>
        <w:spacing w:before="0"/>
        <w:jc w:val="both"/>
        <w:rPr>
          <w:rFonts w:eastAsia="Calibri"/>
          <w:sz w:val="20"/>
          <w:lang w:eastAsia="en-US"/>
        </w:rPr>
      </w:pPr>
      <w:r>
        <w:rPr>
          <w:rFonts w:eastAsia="Calibri"/>
          <w:sz w:val="20"/>
          <w:lang w:eastAsia="en-US"/>
        </w:rPr>
        <w:t xml:space="preserve">I dati elaborati dal Sistema di Valutazione delle Performance dei sistemi sanitari regionali, riconfermano l’Azienda USL di Modena tra le più performanti del sistema sanitario regionale. Tuttavia, gli indicatori riportati nel Bersaglio sono senz’altro ulteriormente migliorabili. Tra questi, i particolare i tempi di attesa della chirurgia oncologica, il cui valore medio è negativo a causa dell’attesa media prima del ricovero per interventi chirurgici per prostata, ad alta frequenza. Tra gli indicatori negativi, </w:t>
      </w:r>
      <w:r>
        <w:rPr>
          <w:rFonts w:eastAsia="Calibri"/>
          <w:sz w:val="20"/>
          <w:lang w:eastAsia="en-US"/>
        </w:rPr>
        <w:lastRenderedPageBreak/>
        <w:t>la percentuale di abbandoni da PS è un altro aspetto sottoporre ad attenzione particolare, così come la copertura vaccinale e l’appropriatezza chirurgica.</w:t>
      </w:r>
    </w:p>
    <w:p w14:paraId="16A29CA6" w14:textId="77777777" w:rsidR="00E27519" w:rsidRDefault="0003178C">
      <w:pPr>
        <w:suppressAutoHyphens w:val="0"/>
        <w:spacing w:before="0"/>
        <w:rPr>
          <w:rFonts w:eastAsia="Calibri"/>
          <w:sz w:val="20"/>
          <w:lang w:eastAsia="en-US"/>
        </w:rPr>
      </w:pPr>
      <w:r>
        <w:rPr>
          <w:rFonts w:eastAsia="Calibri"/>
          <w:sz w:val="20"/>
          <w:lang w:eastAsia="en-US"/>
        </w:rPr>
        <w:br w:type="page"/>
      </w:r>
    </w:p>
    <w:p w14:paraId="77604060" w14:textId="77777777" w:rsidR="00E27519" w:rsidRDefault="0003178C">
      <w:pPr>
        <w:pStyle w:val="Titolo2"/>
        <w:numPr>
          <w:ilvl w:val="1"/>
          <w:numId w:val="6"/>
        </w:numPr>
      </w:pPr>
      <w:bookmarkStart w:id="43" w:name="_Toc486415651"/>
      <w:r>
        <w:lastRenderedPageBreak/>
        <w:t>7. La sostenibilità economico finanziaria</w:t>
      </w:r>
      <w:bookmarkEnd w:id="43"/>
    </w:p>
    <w:p w14:paraId="4292AC4B" w14:textId="7A59B54D" w:rsidR="00E27519" w:rsidRDefault="0003178C">
      <w:pPr>
        <w:jc w:val="both"/>
        <w:rPr>
          <w:sz w:val="20"/>
        </w:rPr>
      </w:pPr>
      <w:r>
        <w:rPr>
          <w:sz w:val="20"/>
        </w:rPr>
        <w:t xml:space="preserve">Negli ultimi anni l’Azienda USL di Modena ha ricevuto una progressiva riduzione del Finanziamento a Quota Capitaria e soprattutto del Fondo di Riequilibrio (complessivamente pari a circa -27 </w:t>
      </w:r>
      <w:proofErr w:type="spellStart"/>
      <w:r>
        <w:rPr>
          <w:sz w:val="20"/>
        </w:rPr>
        <w:t>mil</w:t>
      </w:r>
      <w:proofErr w:type="spellEnd"/>
      <w:r>
        <w:rPr>
          <w:sz w:val="20"/>
        </w:rPr>
        <w:t xml:space="preserve"> di euro) Il perseguimento dell’obiettivo di pareggio di bilancio, nonostante la riduzione del finanziamento totale, è stato quindi possibile grazie ad un rigorosissimo controllo economico e finanziario trasversale di tutte le aree sopradescritte.  </w:t>
      </w:r>
    </w:p>
    <w:p w14:paraId="0FE8982F" w14:textId="77777777" w:rsidR="00E27519" w:rsidRDefault="00E27519">
      <w:pPr>
        <w:jc w:val="both"/>
        <w:rPr>
          <w:rFonts w:asciiTheme="minorHAnsi" w:hAnsiTheme="minorHAnsi"/>
          <w:sz w:val="20"/>
          <w:highlight w:val="green"/>
        </w:rPr>
      </w:pPr>
    </w:p>
    <w:p w14:paraId="6922FBDE" w14:textId="77777777" w:rsidR="00E27519" w:rsidRDefault="0003178C">
      <w:pPr>
        <w:jc w:val="both"/>
        <w:rPr>
          <w:rFonts w:asciiTheme="minorHAnsi" w:hAnsiTheme="minorHAnsi"/>
          <w:sz w:val="20"/>
          <w:highlight w:val="green"/>
        </w:rPr>
      </w:pPr>
      <w:r>
        <w:rPr>
          <w:rFonts w:asciiTheme="minorHAnsi" w:hAnsiTheme="minorHAnsi"/>
          <w:noProof/>
          <w:sz w:val="20"/>
          <w:highlight w:val="green"/>
          <w:lang w:eastAsia="it-IT" w:bidi="ar-SA"/>
        </w:rPr>
        <w:drawing>
          <wp:inline distT="0" distB="0" distL="0" distR="0" wp14:anchorId="2ECA11BA" wp14:editId="1916DFF8">
            <wp:extent cx="6480175" cy="350837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480175" cy="3508375"/>
                    </a:xfrm>
                    <a:prstGeom prst="rect">
                      <a:avLst/>
                    </a:prstGeom>
                    <a:noFill/>
                    <a:ln>
                      <a:noFill/>
                    </a:ln>
                  </pic:spPr>
                </pic:pic>
              </a:graphicData>
            </a:graphic>
          </wp:inline>
        </w:drawing>
      </w:r>
    </w:p>
    <w:p w14:paraId="7E2567B5" w14:textId="77777777" w:rsidR="00E27519" w:rsidRDefault="0003178C">
      <w:pPr>
        <w:ind w:right="284"/>
        <w:jc w:val="both"/>
        <w:rPr>
          <w:rFonts w:eastAsia="Calibri"/>
          <w:sz w:val="16"/>
          <w:lang w:eastAsia="en-US"/>
        </w:rPr>
      </w:pPr>
      <w:r>
        <w:rPr>
          <w:rFonts w:eastAsia="Calibri"/>
          <w:sz w:val="16"/>
          <w:lang w:eastAsia="en-US"/>
        </w:rPr>
        <w:t>Fonte: DGR 830/2017 “Linee di programmazione e di finanziamento delle Aziende e degli Enti del Servizio Sanitario regionale per l’anno 2017” Regione Emilia-Romagna</w:t>
      </w:r>
    </w:p>
    <w:p w14:paraId="7C0898D1" w14:textId="0DC33306" w:rsidR="00E27519" w:rsidRDefault="0003178C">
      <w:pPr>
        <w:jc w:val="both"/>
        <w:rPr>
          <w:sz w:val="20"/>
        </w:rPr>
      </w:pPr>
      <w:r>
        <w:rPr>
          <w:sz w:val="20"/>
        </w:rPr>
        <w:t xml:space="preserve">Nel 2016, in linea con gli obiettivi di mandato regionali, è stato rispettato il vincolo del pareggio di bilancio (l’esercizio si è chiuso con un utile di circa 15 mila €).  </w:t>
      </w:r>
    </w:p>
    <w:p w14:paraId="2DCE0E16" w14:textId="77777777" w:rsidR="00E27519" w:rsidRDefault="0003178C">
      <w:pPr>
        <w:pStyle w:val="Titolo3Verdana"/>
        <w:rPr>
          <w:rFonts w:asciiTheme="minorHAnsi" w:eastAsia="Calibri" w:hAnsiTheme="minorHAnsi"/>
        </w:rPr>
      </w:pPr>
      <w:bookmarkStart w:id="44" w:name="_Toc486415652"/>
      <w:r>
        <w:rPr>
          <w:rFonts w:asciiTheme="minorHAnsi" w:eastAsia="Calibri" w:hAnsiTheme="minorHAnsi"/>
          <w:lang w:val="it-IT"/>
        </w:rPr>
        <w:t>7</w:t>
      </w:r>
      <w:r>
        <w:rPr>
          <w:rFonts w:asciiTheme="minorHAnsi" w:eastAsia="Calibri" w:hAnsiTheme="minorHAnsi"/>
        </w:rPr>
        <w:t>.1 Risultato netto di esercizio 2014-2016 (in euro)</w:t>
      </w:r>
      <w:bookmarkEnd w:id="44"/>
    </w:p>
    <w:tbl>
      <w:tblPr>
        <w:tblW w:w="10196" w:type="dxa"/>
        <w:tblLayout w:type="fixed"/>
        <w:tblCellMar>
          <w:left w:w="70" w:type="dxa"/>
          <w:right w:w="70" w:type="dxa"/>
        </w:tblCellMar>
        <w:tblLook w:val="04A0" w:firstRow="1" w:lastRow="0" w:firstColumn="1" w:lastColumn="0" w:noHBand="0" w:noVBand="1"/>
      </w:tblPr>
      <w:tblGrid>
        <w:gridCol w:w="4229"/>
        <w:gridCol w:w="2021"/>
        <w:gridCol w:w="2021"/>
        <w:gridCol w:w="1925"/>
      </w:tblGrid>
      <w:tr w:rsidR="00E27519" w14:paraId="6E603F8D" w14:textId="77777777">
        <w:trPr>
          <w:trHeight w:val="300"/>
        </w:trPr>
        <w:tc>
          <w:tcPr>
            <w:tcW w:w="4229" w:type="dxa"/>
            <w:tcBorders>
              <w:top w:val="single" w:sz="4" w:space="0" w:color="auto"/>
              <w:left w:val="single" w:sz="4" w:space="0" w:color="auto"/>
              <w:bottom w:val="single" w:sz="4" w:space="0" w:color="auto"/>
              <w:right w:val="single" w:sz="4" w:space="0" w:color="auto"/>
            </w:tcBorders>
            <w:shd w:val="clear" w:color="auto" w:fill="auto"/>
            <w:vAlign w:val="bottom"/>
          </w:tcPr>
          <w:p w14:paraId="54FF2FD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2021" w:type="dxa"/>
            <w:tcBorders>
              <w:top w:val="single" w:sz="4" w:space="0" w:color="auto"/>
              <w:left w:val="nil"/>
              <w:bottom w:val="single" w:sz="4" w:space="0" w:color="auto"/>
              <w:right w:val="single" w:sz="4" w:space="0" w:color="auto"/>
            </w:tcBorders>
            <w:shd w:val="clear" w:color="000000" w:fill="FFFFCC"/>
            <w:vAlign w:val="center"/>
          </w:tcPr>
          <w:p w14:paraId="5CDB40BE" w14:textId="77777777"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Consuntivo 2014</w:t>
            </w:r>
          </w:p>
        </w:tc>
        <w:tc>
          <w:tcPr>
            <w:tcW w:w="2021" w:type="dxa"/>
            <w:tcBorders>
              <w:top w:val="single" w:sz="4" w:space="0" w:color="auto"/>
              <w:left w:val="nil"/>
              <w:bottom w:val="single" w:sz="4" w:space="0" w:color="auto"/>
              <w:right w:val="single" w:sz="4" w:space="0" w:color="auto"/>
            </w:tcBorders>
            <w:shd w:val="clear" w:color="000000" w:fill="FFFFCC"/>
            <w:vAlign w:val="center"/>
          </w:tcPr>
          <w:p w14:paraId="624F999B" w14:textId="77777777"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Consuntivo 2015</w:t>
            </w:r>
          </w:p>
        </w:tc>
        <w:tc>
          <w:tcPr>
            <w:tcW w:w="1925" w:type="dxa"/>
            <w:tcBorders>
              <w:top w:val="single" w:sz="4" w:space="0" w:color="auto"/>
              <w:left w:val="nil"/>
              <w:bottom w:val="single" w:sz="4" w:space="0" w:color="auto"/>
              <w:right w:val="single" w:sz="4" w:space="0" w:color="auto"/>
            </w:tcBorders>
            <w:shd w:val="clear" w:color="000000" w:fill="FFFFCC"/>
            <w:vAlign w:val="center"/>
          </w:tcPr>
          <w:p w14:paraId="22C4AE52" w14:textId="77777777"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Consuntivo 2016</w:t>
            </w:r>
          </w:p>
        </w:tc>
      </w:tr>
      <w:tr w:rsidR="00E27519" w14:paraId="24AB41EA" w14:textId="77777777">
        <w:trPr>
          <w:trHeight w:val="300"/>
        </w:trPr>
        <w:tc>
          <w:tcPr>
            <w:tcW w:w="4229" w:type="dxa"/>
            <w:tcBorders>
              <w:top w:val="nil"/>
              <w:left w:val="single" w:sz="4" w:space="0" w:color="auto"/>
              <w:bottom w:val="single" w:sz="4" w:space="0" w:color="auto"/>
              <w:right w:val="single" w:sz="4" w:space="0" w:color="auto"/>
            </w:tcBorders>
            <w:shd w:val="clear" w:color="auto" w:fill="auto"/>
            <w:vAlign w:val="center"/>
          </w:tcPr>
          <w:p w14:paraId="7D72F42A"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VALORE DELLA PRODUZIONE</w:t>
            </w:r>
          </w:p>
        </w:tc>
        <w:tc>
          <w:tcPr>
            <w:tcW w:w="2021" w:type="dxa"/>
            <w:tcBorders>
              <w:top w:val="nil"/>
              <w:left w:val="nil"/>
              <w:bottom w:val="single" w:sz="4" w:space="0" w:color="auto"/>
              <w:right w:val="single" w:sz="4" w:space="0" w:color="auto"/>
            </w:tcBorders>
            <w:shd w:val="clear" w:color="000000" w:fill="FFFFCC"/>
            <w:vAlign w:val="center"/>
          </w:tcPr>
          <w:p w14:paraId="3E0DD77C"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1.292.275.942</w:t>
            </w:r>
          </w:p>
        </w:tc>
        <w:tc>
          <w:tcPr>
            <w:tcW w:w="2021" w:type="dxa"/>
            <w:tcBorders>
              <w:top w:val="nil"/>
              <w:left w:val="nil"/>
              <w:bottom w:val="single" w:sz="4" w:space="0" w:color="auto"/>
              <w:right w:val="single" w:sz="4" w:space="0" w:color="auto"/>
            </w:tcBorders>
            <w:shd w:val="clear" w:color="000000" w:fill="FFFFCC"/>
            <w:vAlign w:val="center"/>
          </w:tcPr>
          <w:p w14:paraId="34107D00"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1.307.057.963</w:t>
            </w:r>
          </w:p>
        </w:tc>
        <w:tc>
          <w:tcPr>
            <w:tcW w:w="1925" w:type="dxa"/>
            <w:tcBorders>
              <w:top w:val="nil"/>
              <w:left w:val="nil"/>
              <w:bottom w:val="single" w:sz="4" w:space="0" w:color="auto"/>
              <w:right w:val="single" w:sz="4" w:space="0" w:color="auto"/>
            </w:tcBorders>
            <w:shd w:val="clear" w:color="000000" w:fill="FFFFCC"/>
            <w:vAlign w:val="center"/>
          </w:tcPr>
          <w:p w14:paraId="77983161"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1.298.160.657</w:t>
            </w:r>
          </w:p>
        </w:tc>
      </w:tr>
      <w:tr w:rsidR="00E27519" w14:paraId="1E7132A0" w14:textId="77777777">
        <w:trPr>
          <w:trHeight w:val="300"/>
        </w:trPr>
        <w:tc>
          <w:tcPr>
            <w:tcW w:w="4229" w:type="dxa"/>
            <w:tcBorders>
              <w:top w:val="nil"/>
              <w:left w:val="single" w:sz="4" w:space="0" w:color="auto"/>
              <w:bottom w:val="single" w:sz="4" w:space="0" w:color="auto"/>
              <w:right w:val="single" w:sz="4" w:space="0" w:color="auto"/>
            </w:tcBorders>
            <w:shd w:val="clear" w:color="auto" w:fill="auto"/>
            <w:vAlign w:val="center"/>
          </w:tcPr>
          <w:p w14:paraId="590C623B"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COSTI DELLA PRODUZIONE</w:t>
            </w:r>
          </w:p>
        </w:tc>
        <w:tc>
          <w:tcPr>
            <w:tcW w:w="2021" w:type="dxa"/>
            <w:tcBorders>
              <w:top w:val="nil"/>
              <w:left w:val="nil"/>
              <w:bottom w:val="single" w:sz="4" w:space="0" w:color="auto"/>
              <w:right w:val="single" w:sz="4" w:space="0" w:color="auto"/>
            </w:tcBorders>
            <w:shd w:val="clear" w:color="000000" w:fill="FFFFCC"/>
            <w:vAlign w:val="center"/>
          </w:tcPr>
          <w:p w14:paraId="4B21626D"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-1.269.858.677</w:t>
            </w:r>
          </w:p>
        </w:tc>
        <w:tc>
          <w:tcPr>
            <w:tcW w:w="2021" w:type="dxa"/>
            <w:tcBorders>
              <w:top w:val="nil"/>
              <w:left w:val="nil"/>
              <w:bottom w:val="single" w:sz="4" w:space="0" w:color="auto"/>
              <w:right w:val="single" w:sz="4" w:space="0" w:color="auto"/>
            </w:tcBorders>
            <w:shd w:val="clear" w:color="000000" w:fill="FFFFCC"/>
            <w:vAlign w:val="center"/>
          </w:tcPr>
          <w:p w14:paraId="5AC9C623"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-1.285.608.995</w:t>
            </w:r>
          </w:p>
        </w:tc>
        <w:tc>
          <w:tcPr>
            <w:tcW w:w="1925" w:type="dxa"/>
            <w:tcBorders>
              <w:top w:val="nil"/>
              <w:left w:val="nil"/>
              <w:bottom w:val="single" w:sz="4" w:space="0" w:color="auto"/>
              <w:right w:val="single" w:sz="4" w:space="0" w:color="auto"/>
            </w:tcBorders>
            <w:shd w:val="clear" w:color="000000" w:fill="FFFFCC"/>
            <w:vAlign w:val="center"/>
          </w:tcPr>
          <w:p w14:paraId="09C3250E"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-1.275.591.280</w:t>
            </w:r>
          </w:p>
        </w:tc>
      </w:tr>
      <w:tr w:rsidR="00E27519" w14:paraId="413BF4DF" w14:textId="77777777">
        <w:trPr>
          <w:trHeight w:val="300"/>
        </w:trPr>
        <w:tc>
          <w:tcPr>
            <w:tcW w:w="4229" w:type="dxa"/>
            <w:tcBorders>
              <w:top w:val="nil"/>
              <w:left w:val="single" w:sz="4" w:space="0" w:color="auto"/>
              <w:bottom w:val="single" w:sz="4" w:space="0" w:color="auto"/>
              <w:right w:val="single" w:sz="4" w:space="0" w:color="auto"/>
            </w:tcBorders>
            <w:shd w:val="clear" w:color="auto" w:fill="auto"/>
            <w:vAlign w:val="center"/>
          </w:tcPr>
          <w:p w14:paraId="77AFE1DD"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PROVENTI E ONERI FINANZIARI</w:t>
            </w:r>
          </w:p>
        </w:tc>
        <w:tc>
          <w:tcPr>
            <w:tcW w:w="2021" w:type="dxa"/>
            <w:tcBorders>
              <w:top w:val="nil"/>
              <w:left w:val="nil"/>
              <w:bottom w:val="single" w:sz="4" w:space="0" w:color="auto"/>
              <w:right w:val="single" w:sz="4" w:space="0" w:color="auto"/>
            </w:tcBorders>
            <w:shd w:val="clear" w:color="000000" w:fill="FFFFCC"/>
            <w:vAlign w:val="center"/>
          </w:tcPr>
          <w:p w14:paraId="3178CEE7"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-2.442.944</w:t>
            </w:r>
          </w:p>
        </w:tc>
        <w:tc>
          <w:tcPr>
            <w:tcW w:w="2021" w:type="dxa"/>
            <w:tcBorders>
              <w:top w:val="nil"/>
              <w:left w:val="nil"/>
              <w:bottom w:val="single" w:sz="4" w:space="0" w:color="auto"/>
              <w:right w:val="single" w:sz="4" w:space="0" w:color="auto"/>
            </w:tcBorders>
            <w:shd w:val="clear" w:color="000000" w:fill="FFFFCC"/>
            <w:vAlign w:val="center"/>
          </w:tcPr>
          <w:p w14:paraId="02A631E3"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-2.302.979</w:t>
            </w:r>
          </w:p>
        </w:tc>
        <w:tc>
          <w:tcPr>
            <w:tcW w:w="1925" w:type="dxa"/>
            <w:tcBorders>
              <w:top w:val="nil"/>
              <w:left w:val="nil"/>
              <w:bottom w:val="single" w:sz="4" w:space="0" w:color="auto"/>
              <w:right w:val="single" w:sz="4" w:space="0" w:color="auto"/>
            </w:tcBorders>
            <w:shd w:val="clear" w:color="000000" w:fill="FFFFCC"/>
            <w:vAlign w:val="center"/>
          </w:tcPr>
          <w:p w14:paraId="3CD48D42"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-2.675.687</w:t>
            </w:r>
          </w:p>
        </w:tc>
      </w:tr>
      <w:tr w:rsidR="00E27519" w14:paraId="36AE6B35" w14:textId="77777777">
        <w:trPr>
          <w:trHeight w:val="300"/>
        </w:trPr>
        <w:tc>
          <w:tcPr>
            <w:tcW w:w="4229" w:type="dxa"/>
            <w:tcBorders>
              <w:top w:val="nil"/>
              <w:left w:val="single" w:sz="4" w:space="0" w:color="auto"/>
              <w:bottom w:val="single" w:sz="4" w:space="0" w:color="auto"/>
              <w:right w:val="single" w:sz="4" w:space="0" w:color="auto"/>
            </w:tcBorders>
            <w:shd w:val="clear" w:color="auto" w:fill="auto"/>
            <w:vAlign w:val="center"/>
          </w:tcPr>
          <w:p w14:paraId="342DDBF7"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PROVENTI E ONERI STRAORDINARI</w:t>
            </w:r>
          </w:p>
        </w:tc>
        <w:tc>
          <w:tcPr>
            <w:tcW w:w="2021" w:type="dxa"/>
            <w:tcBorders>
              <w:top w:val="nil"/>
              <w:left w:val="nil"/>
              <w:bottom w:val="single" w:sz="4" w:space="0" w:color="auto"/>
              <w:right w:val="single" w:sz="4" w:space="0" w:color="auto"/>
            </w:tcBorders>
            <w:shd w:val="clear" w:color="000000" w:fill="FFFFCC"/>
            <w:vAlign w:val="center"/>
          </w:tcPr>
          <w:p w14:paraId="5E5C5B1C"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796.555</w:t>
            </w:r>
          </w:p>
        </w:tc>
        <w:tc>
          <w:tcPr>
            <w:tcW w:w="2021" w:type="dxa"/>
            <w:tcBorders>
              <w:top w:val="nil"/>
              <w:left w:val="nil"/>
              <w:bottom w:val="single" w:sz="4" w:space="0" w:color="auto"/>
              <w:right w:val="single" w:sz="4" w:space="0" w:color="auto"/>
            </w:tcBorders>
            <w:shd w:val="clear" w:color="000000" w:fill="FFFFCC"/>
            <w:vAlign w:val="center"/>
          </w:tcPr>
          <w:p w14:paraId="18202CD9"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1.614.352</w:t>
            </w:r>
          </w:p>
        </w:tc>
        <w:tc>
          <w:tcPr>
            <w:tcW w:w="1925" w:type="dxa"/>
            <w:tcBorders>
              <w:top w:val="nil"/>
              <w:left w:val="nil"/>
              <w:bottom w:val="single" w:sz="4" w:space="0" w:color="auto"/>
              <w:right w:val="single" w:sz="4" w:space="0" w:color="auto"/>
            </w:tcBorders>
            <w:shd w:val="clear" w:color="000000" w:fill="FFFFCC"/>
            <w:vAlign w:val="center"/>
          </w:tcPr>
          <w:p w14:paraId="256534FC"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266.196</w:t>
            </w:r>
          </w:p>
        </w:tc>
      </w:tr>
      <w:tr w:rsidR="00E27519" w14:paraId="01FB155B" w14:textId="77777777">
        <w:trPr>
          <w:trHeight w:val="300"/>
        </w:trPr>
        <w:tc>
          <w:tcPr>
            <w:tcW w:w="4229" w:type="dxa"/>
            <w:tcBorders>
              <w:top w:val="nil"/>
              <w:left w:val="single" w:sz="4" w:space="0" w:color="auto"/>
              <w:bottom w:val="single" w:sz="4" w:space="0" w:color="auto"/>
              <w:right w:val="single" w:sz="4" w:space="0" w:color="auto"/>
            </w:tcBorders>
            <w:shd w:val="clear" w:color="auto" w:fill="auto"/>
            <w:vAlign w:val="center"/>
          </w:tcPr>
          <w:p w14:paraId="5C53AAEA" w14:textId="77777777"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IMPOSTE SUL REDDITO DELL'ESERCIZIO</w:t>
            </w:r>
          </w:p>
        </w:tc>
        <w:tc>
          <w:tcPr>
            <w:tcW w:w="2021" w:type="dxa"/>
            <w:tcBorders>
              <w:top w:val="nil"/>
              <w:left w:val="nil"/>
              <w:bottom w:val="single" w:sz="4" w:space="0" w:color="auto"/>
              <w:right w:val="single" w:sz="4" w:space="0" w:color="auto"/>
            </w:tcBorders>
            <w:shd w:val="clear" w:color="000000" w:fill="FFFFCC"/>
            <w:vAlign w:val="center"/>
          </w:tcPr>
          <w:p w14:paraId="10D0CAF9"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-20.738.331</w:t>
            </w:r>
          </w:p>
        </w:tc>
        <w:tc>
          <w:tcPr>
            <w:tcW w:w="2021" w:type="dxa"/>
            <w:tcBorders>
              <w:top w:val="nil"/>
              <w:left w:val="nil"/>
              <w:bottom w:val="single" w:sz="4" w:space="0" w:color="auto"/>
              <w:right w:val="single" w:sz="4" w:space="0" w:color="auto"/>
            </w:tcBorders>
            <w:shd w:val="clear" w:color="000000" w:fill="FFFFCC"/>
            <w:vAlign w:val="center"/>
          </w:tcPr>
          <w:p w14:paraId="35075E84"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-20.744.708</w:t>
            </w:r>
          </w:p>
        </w:tc>
        <w:tc>
          <w:tcPr>
            <w:tcW w:w="1925" w:type="dxa"/>
            <w:tcBorders>
              <w:top w:val="nil"/>
              <w:left w:val="nil"/>
              <w:bottom w:val="single" w:sz="4" w:space="0" w:color="auto"/>
              <w:right w:val="single" w:sz="4" w:space="0" w:color="auto"/>
            </w:tcBorders>
            <w:shd w:val="clear" w:color="000000" w:fill="FFFFCC"/>
            <w:vAlign w:val="center"/>
          </w:tcPr>
          <w:p w14:paraId="76C1C04C" w14:textId="77777777" w:rsidR="00E27519" w:rsidRDefault="0003178C">
            <w:pPr>
              <w:suppressAutoHyphens w:val="0"/>
              <w:spacing w:before="0"/>
              <w:jc w:val="right"/>
              <w:rPr>
                <w:rFonts w:cs="Times New Roman"/>
                <w:color w:val="000000"/>
                <w:szCs w:val="22"/>
                <w:lang w:eastAsia="it-IT" w:bidi="ar-SA"/>
              </w:rPr>
            </w:pPr>
            <w:r>
              <w:rPr>
                <w:rFonts w:cs="Times New Roman"/>
                <w:color w:val="000000"/>
                <w:szCs w:val="22"/>
                <w:lang w:eastAsia="it-IT" w:bidi="ar-SA"/>
              </w:rPr>
              <w:t>-20.144.397</w:t>
            </w:r>
          </w:p>
        </w:tc>
      </w:tr>
      <w:tr w:rsidR="00E27519" w14:paraId="7F2316CB" w14:textId="77777777">
        <w:trPr>
          <w:trHeight w:val="300"/>
        </w:trPr>
        <w:tc>
          <w:tcPr>
            <w:tcW w:w="4229" w:type="dxa"/>
            <w:tcBorders>
              <w:top w:val="nil"/>
              <w:left w:val="single" w:sz="4" w:space="0" w:color="auto"/>
              <w:bottom w:val="single" w:sz="4" w:space="0" w:color="auto"/>
              <w:right w:val="single" w:sz="4" w:space="0" w:color="auto"/>
            </w:tcBorders>
            <w:shd w:val="clear" w:color="auto" w:fill="auto"/>
            <w:vAlign w:val="center"/>
          </w:tcPr>
          <w:p w14:paraId="186EED59" w14:textId="77777777" w:rsidR="00E27519" w:rsidRDefault="0003178C">
            <w:pPr>
              <w:suppressAutoHyphens w:val="0"/>
              <w:spacing w:before="0"/>
              <w:rPr>
                <w:rFonts w:cs="Times New Roman"/>
                <w:b/>
                <w:bCs/>
                <w:color w:val="000000"/>
                <w:szCs w:val="22"/>
                <w:lang w:eastAsia="it-IT" w:bidi="ar-SA"/>
              </w:rPr>
            </w:pPr>
            <w:r>
              <w:rPr>
                <w:rFonts w:cs="Times New Roman"/>
                <w:b/>
                <w:bCs/>
                <w:color w:val="000000"/>
                <w:szCs w:val="22"/>
                <w:lang w:eastAsia="it-IT" w:bidi="ar-SA"/>
              </w:rPr>
              <w:t>RISULTATO</w:t>
            </w:r>
          </w:p>
        </w:tc>
        <w:tc>
          <w:tcPr>
            <w:tcW w:w="2021" w:type="dxa"/>
            <w:tcBorders>
              <w:top w:val="nil"/>
              <w:left w:val="nil"/>
              <w:bottom w:val="single" w:sz="4" w:space="0" w:color="auto"/>
              <w:right w:val="single" w:sz="4" w:space="0" w:color="auto"/>
            </w:tcBorders>
            <w:shd w:val="clear" w:color="000000" w:fill="FFFFCC"/>
            <w:vAlign w:val="center"/>
          </w:tcPr>
          <w:p w14:paraId="72942607" w14:textId="77777777" w:rsidR="00E27519" w:rsidRDefault="0003178C">
            <w:pPr>
              <w:suppressAutoHyphens w:val="0"/>
              <w:spacing w:before="0"/>
              <w:jc w:val="right"/>
              <w:rPr>
                <w:rFonts w:cs="Times New Roman"/>
                <w:b/>
                <w:bCs/>
                <w:color w:val="000000"/>
                <w:szCs w:val="22"/>
                <w:lang w:eastAsia="it-IT" w:bidi="ar-SA"/>
              </w:rPr>
            </w:pPr>
            <w:r>
              <w:rPr>
                <w:rFonts w:cs="Times New Roman"/>
                <w:b/>
                <w:bCs/>
                <w:color w:val="000000"/>
                <w:szCs w:val="22"/>
                <w:lang w:eastAsia="it-IT" w:bidi="ar-SA"/>
              </w:rPr>
              <w:t>32.545</w:t>
            </w:r>
          </w:p>
        </w:tc>
        <w:tc>
          <w:tcPr>
            <w:tcW w:w="2021" w:type="dxa"/>
            <w:tcBorders>
              <w:top w:val="nil"/>
              <w:left w:val="nil"/>
              <w:bottom w:val="single" w:sz="4" w:space="0" w:color="auto"/>
              <w:right w:val="single" w:sz="4" w:space="0" w:color="auto"/>
            </w:tcBorders>
            <w:shd w:val="clear" w:color="000000" w:fill="FFFFCC"/>
            <w:vAlign w:val="center"/>
          </w:tcPr>
          <w:p w14:paraId="3883E250" w14:textId="77777777" w:rsidR="00E27519" w:rsidRDefault="0003178C">
            <w:pPr>
              <w:suppressAutoHyphens w:val="0"/>
              <w:spacing w:before="0"/>
              <w:jc w:val="right"/>
              <w:rPr>
                <w:rFonts w:cs="Times New Roman"/>
                <w:b/>
                <w:bCs/>
                <w:color w:val="000000"/>
                <w:szCs w:val="22"/>
                <w:lang w:eastAsia="it-IT" w:bidi="ar-SA"/>
              </w:rPr>
            </w:pPr>
            <w:r>
              <w:rPr>
                <w:rFonts w:cs="Times New Roman"/>
                <w:b/>
                <w:bCs/>
                <w:color w:val="000000"/>
                <w:szCs w:val="22"/>
                <w:lang w:eastAsia="it-IT" w:bidi="ar-SA"/>
              </w:rPr>
              <w:t>15.633</w:t>
            </w:r>
          </w:p>
        </w:tc>
        <w:tc>
          <w:tcPr>
            <w:tcW w:w="1925" w:type="dxa"/>
            <w:tcBorders>
              <w:top w:val="nil"/>
              <w:left w:val="nil"/>
              <w:bottom w:val="single" w:sz="4" w:space="0" w:color="auto"/>
              <w:right w:val="single" w:sz="4" w:space="0" w:color="auto"/>
            </w:tcBorders>
            <w:shd w:val="clear" w:color="000000" w:fill="FFFFCC"/>
            <w:vAlign w:val="center"/>
          </w:tcPr>
          <w:p w14:paraId="368DF5FF" w14:textId="77777777" w:rsidR="00E27519" w:rsidRDefault="0003178C">
            <w:pPr>
              <w:suppressAutoHyphens w:val="0"/>
              <w:spacing w:before="0"/>
              <w:jc w:val="right"/>
              <w:rPr>
                <w:rFonts w:cs="Times New Roman"/>
                <w:b/>
                <w:bCs/>
                <w:color w:val="000000"/>
                <w:szCs w:val="22"/>
                <w:lang w:eastAsia="it-IT" w:bidi="ar-SA"/>
              </w:rPr>
            </w:pPr>
            <w:r>
              <w:rPr>
                <w:rFonts w:cs="Times New Roman"/>
                <w:b/>
                <w:bCs/>
                <w:color w:val="000000"/>
                <w:szCs w:val="22"/>
                <w:lang w:eastAsia="it-IT" w:bidi="ar-SA"/>
              </w:rPr>
              <w:t>15.489</w:t>
            </w:r>
          </w:p>
        </w:tc>
      </w:tr>
    </w:tbl>
    <w:p w14:paraId="002E5DD0" w14:textId="30C1C798" w:rsidR="00E27519" w:rsidRDefault="00CA006B">
      <w:pPr>
        <w:ind w:right="284"/>
        <w:jc w:val="both"/>
        <w:rPr>
          <w:rFonts w:eastAsia="Calibri"/>
          <w:sz w:val="16"/>
          <w:lang w:eastAsia="en-US"/>
        </w:rPr>
      </w:pPr>
      <w:r>
        <w:rPr>
          <w:rFonts w:eastAsia="Calibri"/>
          <w:sz w:val="16"/>
          <w:lang w:eastAsia="en-US"/>
        </w:rPr>
        <w:t>Fonte: AUSL MO, Elaborazione su dati consuntivi Bilancio 2016 (Delibera 116/2017)</w:t>
      </w:r>
    </w:p>
    <w:p w14:paraId="0DD1B5FA" w14:textId="77777777" w:rsidR="00E27519" w:rsidRDefault="0003178C">
      <w:pPr>
        <w:pStyle w:val="Titolo3Verdana"/>
        <w:rPr>
          <w:rFonts w:asciiTheme="minorHAnsi" w:eastAsia="Calibri" w:hAnsiTheme="minorHAnsi"/>
        </w:rPr>
      </w:pPr>
      <w:bookmarkStart w:id="45" w:name="_Toc486415653"/>
      <w:r>
        <w:rPr>
          <w:rFonts w:asciiTheme="minorHAnsi" w:eastAsia="Calibri" w:hAnsiTheme="minorHAnsi"/>
          <w:lang w:val="it-IT"/>
        </w:rPr>
        <w:lastRenderedPageBreak/>
        <w:t>7</w:t>
      </w:r>
      <w:r>
        <w:rPr>
          <w:rFonts w:asciiTheme="minorHAnsi" w:eastAsia="Calibri" w:hAnsiTheme="minorHAnsi"/>
        </w:rPr>
        <w:t xml:space="preserve">.2 </w:t>
      </w:r>
      <w:r>
        <w:rPr>
          <w:rFonts w:asciiTheme="minorHAnsi" w:eastAsia="Calibri" w:hAnsiTheme="minorHAnsi"/>
          <w:lang w:val="it-IT"/>
        </w:rPr>
        <w:t>Costi pro-capite</w:t>
      </w:r>
      <w:bookmarkEnd w:id="45"/>
      <w:r>
        <w:rPr>
          <w:rFonts w:asciiTheme="minorHAnsi" w:eastAsia="Calibri" w:hAnsiTheme="minorHAnsi"/>
          <w:lang w:val="it-IT"/>
        </w:rPr>
        <w:t xml:space="preserve"> </w:t>
      </w:r>
    </w:p>
    <w:p w14:paraId="413F0140" w14:textId="77777777" w:rsidR="00E27519" w:rsidRDefault="0003178C">
      <w:pPr>
        <w:jc w:val="center"/>
        <w:rPr>
          <w:rFonts w:eastAsia="Arial Unicode MS"/>
          <w:sz w:val="20"/>
        </w:rPr>
      </w:pPr>
      <w:r>
        <w:rPr>
          <w:rFonts w:asciiTheme="minorHAnsi" w:eastAsia="Calibri" w:hAnsiTheme="minorHAnsi"/>
          <w:b/>
          <w:noProof/>
          <w:sz w:val="20"/>
          <w:lang w:eastAsia="it-IT" w:bidi="ar-SA"/>
        </w:rPr>
        <w:drawing>
          <wp:inline distT="0" distB="0" distL="0" distR="0" wp14:anchorId="1D9AE6F1" wp14:editId="5A9A67B8">
            <wp:extent cx="5187315" cy="2795905"/>
            <wp:effectExtent l="0" t="0" r="13335" b="4445"/>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758800" w14:textId="77777777" w:rsidR="00E27519" w:rsidRDefault="0003178C">
      <w:pPr>
        <w:ind w:right="284"/>
        <w:jc w:val="both"/>
        <w:rPr>
          <w:rFonts w:eastAsia="Calibri"/>
          <w:sz w:val="16"/>
          <w:lang w:eastAsia="en-US"/>
        </w:rPr>
      </w:pPr>
      <w:r>
        <w:rPr>
          <w:rFonts w:eastAsia="Calibri"/>
          <w:sz w:val="16"/>
          <w:lang w:eastAsia="en-US"/>
        </w:rPr>
        <w:t>Fonte: Direzione Generale Cura della Persona, Salute e Welfare – Regione Emilia-Romagna</w:t>
      </w:r>
    </w:p>
    <w:p w14:paraId="6EEF2836" w14:textId="77777777" w:rsidR="00E27519" w:rsidRDefault="00E27519">
      <w:pPr>
        <w:spacing w:after="120"/>
        <w:contextualSpacing/>
        <w:jc w:val="both"/>
        <w:rPr>
          <w:rFonts w:eastAsia="Calibri"/>
          <w:sz w:val="20"/>
          <w:lang w:eastAsia="en-US"/>
        </w:rPr>
      </w:pPr>
    </w:p>
    <w:p w14:paraId="67E69301" w14:textId="349111F1" w:rsidR="00E27519" w:rsidRDefault="0003178C">
      <w:pPr>
        <w:spacing w:after="120"/>
        <w:contextualSpacing/>
        <w:jc w:val="both"/>
        <w:rPr>
          <w:rFonts w:eastAsia="Calibri"/>
          <w:sz w:val="20"/>
          <w:lang w:eastAsia="en-US"/>
        </w:rPr>
      </w:pPr>
      <w:r>
        <w:rPr>
          <w:rFonts w:eastAsia="Calibri"/>
          <w:sz w:val="20"/>
          <w:lang w:eastAsia="en-US"/>
        </w:rPr>
        <w:t xml:space="preserve">L’intervento sui costi ha determinato per l’Azienda USL di Modena nel 2014 un incremento dello scostamento dalla media regionale in termini di minor costo che </w:t>
      </w:r>
      <w:r w:rsidR="00315DEF">
        <w:rPr>
          <w:rFonts w:eastAsia="Calibri"/>
          <w:sz w:val="20"/>
          <w:lang w:eastAsia="en-US"/>
        </w:rPr>
        <w:t>è</w:t>
      </w:r>
      <w:r>
        <w:rPr>
          <w:rFonts w:eastAsia="Calibri"/>
          <w:sz w:val="20"/>
          <w:lang w:eastAsia="en-US"/>
        </w:rPr>
        <w:t xml:space="preserve"> proseguito negli anni successivi, arrivando a raddo</w:t>
      </w:r>
      <w:r w:rsidR="007C537A">
        <w:rPr>
          <w:rFonts w:eastAsia="Calibri"/>
          <w:sz w:val="20"/>
          <w:lang w:eastAsia="en-US"/>
        </w:rPr>
        <w:t>p</w:t>
      </w:r>
      <w:r>
        <w:rPr>
          <w:rFonts w:eastAsia="Calibri"/>
          <w:sz w:val="20"/>
          <w:lang w:eastAsia="en-US"/>
        </w:rPr>
        <w:t>piare nel 2015 (</w:t>
      </w:r>
      <w:r w:rsidR="007C537A">
        <w:rPr>
          <w:rFonts w:eastAsia="Calibri"/>
          <w:sz w:val="20"/>
          <w:lang w:eastAsia="en-US"/>
        </w:rPr>
        <w:t>-</w:t>
      </w:r>
      <w:r>
        <w:rPr>
          <w:rFonts w:eastAsia="Calibri"/>
          <w:sz w:val="20"/>
          <w:lang w:eastAsia="en-US"/>
        </w:rPr>
        <w:t>0.22% Anno 2013; -0.38% Anno 2014; -0.70% Anno 2015).</w:t>
      </w:r>
    </w:p>
    <w:p w14:paraId="13A28314" w14:textId="77777777" w:rsidR="00E27519" w:rsidRDefault="00E27519">
      <w:pPr>
        <w:spacing w:after="120"/>
        <w:contextualSpacing/>
        <w:jc w:val="both"/>
        <w:rPr>
          <w:rFonts w:eastAsia="Calibri"/>
          <w:sz w:val="20"/>
          <w:lang w:eastAsia="en-US"/>
        </w:rPr>
      </w:pPr>
    </w:p>
    <w:p w14:paraId="5C8B5774" w14:textId="77777777" w:rsidR="00E27519" w:rsidRDefault="0003178C">
      <w:pPr>
        <w:pStyle w:val="Titolo3Verdana"/>
        <w:rPr>
          <w:rFonts w:asciiTheme="minorHAnsi" w:eastAsia="Calibri" w:hAnsiTheme="minorHAnsi"/>
          <w:lang w:val="it-IT"/>
        </w:rPr>
      </w:pPr>
      <w:bookmarkStart w:id="46" w:name="_Toc486415654"/>
      <w:r>
        <w:rPr>
          <w:rFonts w:asciiTheme="minorHAnsi" w:eastAsia="Calibri" w:hAnsiTheme="minorHAnsi"/>
          <w:lang w:val="it-IT"/>
        </w:rPr>
        <w:t>7</w:t>
      </w:r>
      <w:r>
        <w:rPr>
          <w:rFonts w:asciiTheme="minorHAnsi" w:eastAsia="Calibri" w:hAnsiTheme="minorHAnsi"/>
        </w:rPr>
        <w:t xml:space="preserve">.3 </w:t>
      </w:r>
      <w:r>
        <w:rPr>
          <w:rFonts w:asciiTheme="minorHAnsi" w:eastAsia="Calibri" w:hAnsiTheme="minorHAnsi"/>
          <w:lang w:val="it-IT"/>
        </w:rPr>
        <w:t>Spesa del Personale</w:t>
      </w:r>
      <w:bookmarkEnd w:id="46"/>
      <w:r>
        <w:rPr>
          <w:rFonts w:asciiTheme="minorHAnsi" w:eastAsia="Calibri" w:hAnsiTheme="minorHAnsi"/>
          <w:lang w:val="it-IT"/>
        </w:rPr>
        <w:t xml:space="preserve"> </w:t>
      </w:r>
    </w:p>
    <w:p w14:paraId="68A6D807" w14:textId="77777777" w:rsidR="00E27519" w:rsidRDefault="0003178C">
      <w:pPr>
        <w:spacing w:after="120"/>
        <w:contextualSpacing/>
        <w:jc w:val="center"/>
        <w:rPr>
          <w:rFonts w:eastAsia="Calibri"/>
          <w:sz w:val="20"/>
          <w:lang w:eastAsia="en-US"/>
        </w:rPr>
      </w:pPr>
      <w:r>
        <w:rPr>
          <w:rFonts w:eastAsia="Calibri"/>
          <w:noProof/>
          <w:sz w:val="20"/>
          <w:lang w:eastAsia="it-IT" w:bidi="ar-SA"/>
        </w:rPr>
        <w:drawing>
          <wp:inline distT="0" distB="0" distL="0" distR="0" wp14:anchorId="7089D236" wp14:editId="72524FAF">
            <wp:extent cx="4572000" cy="2743200"/>
            <wp:effectExtent l="0" t="0" r="0" b="0"/>
            <wp:docPr id="2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BA6B0B" w14:textId="77777777" w:rsidR="00E27519" w:rsidRDefault="00E27519">
      <w:pPr>
        <w:spacing w:after="120"/>
        <w:contextualSpacing/>
        <w:jc w:val="both"/>
        <w:rPr>
          <w:rFonts w:eastAsia="Calibri"/>
          <w:sz w:val="20"/>
          <w:lang w:eastAsia="en-US"/>
        </w:rPr>
      </w:pPr>
    </w:p>
    <w:p w14:paraId="01A9716C" w14:textId="77777777" w:rsidR="00E27519" w:rsidRDefault="0003178C">
      <w:pPr>
        <w:spacing w:after="120"/>
        <w:contextualSpacing/>
        <w:jc w:val="both"/>
        <w:rPr>
          <w:rFonts w:eastAsia="Calibri"/>
          <w:sz w:val="20"/>
          <w:lang w:eastAsia="en-US"/>
        </w:rPr>
      </w:pPr>
      <w:r>
        <w:rPr>
          <w:rFonts w:eastAsia="Calibri"/>
          <w:sz w:val="20"/>
          <w:lang w:eastAsia="en-US"/>
        </w:rPr>
        <w:t>L’Azienda USL di Modena, nel corso del 2016, ha ulteriormente ridotto la spesa per il personale dipendente, rispetto agli anni precedenti, in linea con quanto richiesto dalle delibere di programmazione regionale.</w:t>
      </w:r>
    </w:p>
    <w:p w14:paraId="5C70E957" w14:textId="77777777" w:rsidR="00E27519" w:rsidRDefault="00E27519">
      <w:pPr>
        <w:pStyle w:val="Titolo3Verdana"/>
        <w:rPr>
          <w:rFonts w:asciiTheme="minorHAnsi" w:eastAsia="Calibri" w:hAnsiTheme="minorHAnsi"/>
          <w:lang w:val="it-IT"/>
        </w:rPr>
      </w:pPr>
    </w:p>
    <w:p w14:paraId="72B495C8" w14:textId="77777777" w:rsidR="00E27519" w:rsidRDefault="0003178C">
      <w:pPr>
        <w:pStyle w:val="Titolo3Verdana"/>
        <w:rPr>
          <w:rFonts w:asciiTheme="minorHAnsi" w:eastAsia="Calibri" w:hAnsiTheme="minorHAnsi"/>
          <w:lang w:val="it-IT"/>
        </w:rPr>
      </w:pPr>
      <w:bookmarkStart w:id="47" w:name="_Toc486415655"/>
      <w:r>
        <w:rPr>
          <w:rFonts w:asciiTheme="minorHAnsi" w:eastAsia="Calibri" w:hAnsiTheme="minorHAnsi"/>
          <w:lang w:val="it-IT"/>
        </w:rPr>
        <w:t>7</w:t>
      </w:r>
      <w:r>
        <w:rPr>
          <w:rFonts w:asciiTheme="minorHAnsi" w:eastAsia="Calibri" w:hAnsiTheme="minorHAnsi"/>
        </w:rPr>
        <w:t xml:space="preserve">.4 </w:t>
      </w:r>
      <w:r>
        <w:rPr>
          <w:rFonts w:asciiTheme="minorHAnsi" w:eastAsia="Calibri" w:hAnsiTheme="minorHAnsi"/>
          <w:lang w:val="it-IT"/>
        </w:rPr>
        <w:t>Spesa Farmaceutica</w:t>
      </w:r>
      <w:bookmarkEnd w:id="47"/>
      <w:r>
        <w:rPr>
          <w:rFonts w:asciiTheme="minorHAnsi" w:eastAsia="Calibri" w:hAnsiTheme="minorHAnsi"/>
          <w:lang w:val="it-IT"/>
        </w:rPr>
        <w:t xml:space="preserve"> </w:t>
      </w:r>
    </w:p>
    <w:p w14:paraId="14E30388" w14:textId="77777777" w:rsidR="00E27519" w:rsidRDefault="0003178C">
      <w:pPr>
        <w:spacing w:after="120"/>
        <w:contextualSpacing/>
        <w:jc w:val="center"/>
        <w:rPr>
          <w:rFonts w:eastAsia="Calibri"/>
          <w:sz w:val="20"/>
          <w:lang w:eastAsia="en-US"/>
        </w:rPr>
      </w:pPr>
      <w:r>
        <w:rPr>
          <w:rFonts w:eastAsia="Calibri"/>
          <w:noProof/>
          <w:sz w:val="20"/>
          <w:lang w:eastAsia="it-IT" w:bidi="ar-SA"/>
        </w:rPr>
        <w:drawing>
          <wp:inline distT="0" distB="0" distL="0" distR="0" wp14:anchorId="5AC7E655" wp14:editId="41DC2B29">
            <wp:extent cx="6335395" cy="3165475"/>
            <wp:effectExtent l="0" t="0" r="0" b="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0B4535" w14:textId="77777777" w:rsidR="00E27519" w:rsidRDefault="0003178C">
      <w:pPr>
        <w:spacing w:after="120"/>
        <w:contextualSpacing/>
        <w:jc w:val="both"/>
        <w:rPr>
          <w:rFonts w:eastAsia="Calibri"/>
          <w:sz w:val="20"/>
          <w:lang w:eastAsia="en-US"/>
        </w:rPr>
      </w:pPr>
      <w:r>
        <w:rPr>
          <w:rFonts w:eastAsia="Calibri"/>
          <w:sz w:val="20"/>
          <w:lang w:eastAsia="en-US"/>
        </w:rPr>
        <w:t>La spesa Farmaceutica totale del 2016, sostenuta dall’Azienda USL di Modena, è stata pari a 123.986.255 €, composta dai farmaci ospedalieri, dalla distribuzione diretta e dal DCP pari a 95.602.401 € e dai farmaci no HCV/Innovativi/Vaccini pari a 28.383.854 €.</w:t>
      </w:r>
    </w:p>
    <w:p w14:paraId="1F6AE310" w14:textId="77777777" w:rsidR="00E27519" w:rsidRDefault="0003178C">
      <w:pPr>
        <w:spacing w:after="120"/>
        <w:contextualSpacing/>
        <w:jc w:val="center"/>
        <w:rPr>
          <w:rFonts w:eastAsia="Calibri"/>
          <w:sz w:val="20"/>
          <w:lang w:eastAsia="en-US"/>
        </w:rPr>
      </w:pPr>
      <w:r>
        <w:rPr>
          <w:rFonts w:eastAsia="Calibri"/>
          <w:noProof/>
          <w:sz w:val="20"/>
          <w:lang w:eastAsia="it-IT" w:bidi="ar-SA"/>
        </w:rPr>
        <w:drawing>
          <wp:inline distT="0" distB="0" distL="0" distR="0" wp14:anchorId="3670AD65" wp14:editId="1BB8CBF1">
            <wp:extent cx="5930265" cy="3223260"/>
            <wp:effectExtent l="0" t="0" r="0" b="0"/>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95AA5D" w14:textId="77777777" w:rsidR="00E27519" w:rsidRDefault="0003178C">
      <w:pPr>
        <w:spacing w:after="120"/>
        <w:contextualSpacing/>
        <w:jc w:val="both"/>
        <w:rPr>
          <w:rFonts w:eastAsia="Calibri"/>
          <w:sz w:val="20"/>
          <w:lang w:eastAsia="en-US"/>
        </w:rPr>
      </w:pPr>
      <w:r>
        <w:rPr>
          <w:rFonts w:eastAsia="Calibri"/>
          <w:sz w:val="20"/>
          <w:lang w:eastAsia="en-US"/>
        </w:rPr>
        <w:t>La spesa Farmaceutica Convenzionata Esterna, in continua riduzione, nel 2016 è stata pari a 76,8 milioni di € (-3,4% sul 2015).</w:t>
      </w:r>
    </w:p>
    <w:p w14:paraId="293DDF2B" w14:textId="334ABF51" w:rsidR="000939DE" w:rsidRDefault="000939DE" w:rsidP="000939DE">
      <w:pPr>
        <w:pStyle w:val="Titolo2"/>
        <w:numPr>
          <w:ilvl w:val="1"/>
          <w:numId w:val="6"/>
        </w:numPr>
      </w:pPr>
      <w:bookmarkStart w:id="48" w:name="_Toc486415656"/>
      <w:r>
        <w:lastRenderedPageBreak/>
        <w:t xml:space="preserve">8. </w:t>
      </w:r>
      <w:r w:rsidR="00DD4B5B">
        <w:t>C</w:t>
      </w:r>
      <w:r>
        <w:t>onclusioni</w:t>
      </w:r>
      <w:bookmarkEnd w:id="48"/>
    </w:p>
    <w:p w14:paraId="49A7B852" w14:textId="1A1FB722" w:rsidR="00D26DE2" w:rsidRDefault="00D26DE2" w:rsidP="00D26DE2">
      <w:pPr>
        <w:suppressAutoHyphens w:val="0"/>
        <w:spacing w:before="0"/>
        <w:jc w:val="both"/>
        <w:rPr>
          <w:rFonts w:eastAsia="Calibri"/>
          <w:sz w:val="20"/>
          <w:lang w:eastAsia="en-US"/>
        </w:rPr>
      </w:pPr>
      <w:r>
        <w:rPr>
          <w:rFonts w:eastAsia="Calibri"/>
          <w:sz w:val="20"/>
          <w:lang w:eastAsia="en-US"/>
        </w:rPr>
        <w:t>Il 2017 sarà caratterizzato, oltre che dalla continuazione del raggiungimento degli obiettivi indicati anche nel piano della performance 2016 – 18, dalla forte attenzione alla attenuazione delle lievi criticità evidenziate nel 2016.</w:t>
      </w:r>
    </w:p>
    <w:p w14:paraId="05522309" w14:textId="1512D8DC" w:rsidR="00D26DE2" w:rsidRDefault="00D26DE2" w:rsidP="00D26DE2">
      <w:pPr>
        <w:suppressAutoHyphens w:val="0"/>
        <w:spacing w:before="0"/>
        <w:jc w:val="both"/>
        <w:rPr>
          <w:rFonts w:eastAsia="Calibri"/>
          <w:sz w:val="20"/>
          <w:lang w:eastAsia="en-US"/>
        </w:rPr>
      </w:pPr>
      <w:r>
        <w:rPr>
          <w:rFonts w:eastAsia="Calibri"/>
          <w:sz w:val="20"/>
          <w:lang w:eastAsia="en-US"/>
        </w:rPr>
        <w:t>Inoltre,</w:t>
      </w:r>
      <w:r w:rsidR="000939DE">
        <w:rPr>
          <w:rFonts w:eastAsia="Calibri"/>
          <w:sz w:val="20"/>
          <w:lang w:eastAsia="en-US"/>
        </w:rPr>
        <w:t xml:space="preserve"> sarà caratterizzato dalla piena operatività della sperimentazione della gestione  unica del  NOCSAE da parte dell’AOU con il Policlinico,  che interesserà il relativo accordo di fornitura,  </w:t>
      </w:r>
      <w:r>
        <w:rPr>
          <w:rFonts w:eastAsia="Calibri"/>
          <w:sz w:val="20"/>
          <w:lang w:eastAsia="en-US"/>
        </w:rPr>
        <w:t>e la predisposizione di meccanismi organizzativi e di monitoraggio ad hoc.</w:t>
      </w:r>
    </w:p>
    <w:p w14:paraId="46DCF035" w14:textId="464DD342" w:rsidR="000939DE" w:rsidRDefault="00D26DE2" w:rsidP="00D26DE2">
      <w:pPr>
        <w:suppressAutoHyphens w:val="0"/>
        <w:spacing w:before="0"/>
        <w:jc w:val="both"/>
        <w:rPr>
          <w:rFonts w:eastAsia="Calibri"/>
          <w:sz w:val="20"/>
          <w:lang w:eastAsia="en-US"/>
        </w:rPr>
      </w:pPr>
      <w:r>
        <w:rPr>
          <w:rFonts w:eastAsia="Calibri"/>
          <w:sz w:val="20"/>
          <w:lang w:eastAsia="en-US"/>
        </w:rPr>
        <w:t xml:space="preserve">Alcune linee di intervento prioritarie derivano dal lavoro impostato nel 2016, in particolare relativamente al recupero dei tempi di attesa per i ricoveri di chirurgia programmata e </w:t>
      </w:r>
      <w:r w:rsidR="000939DE">
        <w:rPr>
          <w:rFonts w:eastAsia="Calibri"/>
          <w:sz w:val="20"/>
          <w:lang w:eastAsia="en-US"/>
        </w:rPr>
        <w:t xml:space="preserve">il progetto complessivo di riordino della rete ospedaliera provinciale, con la valorizzazione degli impatti su tutte le strutture della rete e le modalità di erogazione delle attività. </w:t>
      </w:r>
    </w:p>
    <w:p w14:paraId="562C9320" w14:textId="64D384B2" w:rsidR="000939DE" w:rsidRDefault="000939DE" w:rsidP="00D26DE2">
      <w:pPr>
        <w:suppressAutoHyphens w:val="0"/>
        <w:spacing w:before="0"/>
        <w:jc w:val="both"/>
        <w:rPr>
          <w:rFonts w:eastAsia="Calibri"/>
          <w:sz w:val="20"/>
          <w:lang w:eastAsia="en-US"/>
        </w:rPr>
      </w:pPr>
      <w:r>
        <w:rPr>
          <w:rFonts w:eastAsia="Calibri"/>
          <w:sz w:val="20"/>
          <w:lang w:eastAsia="en-US"/>
        </w:rPr>
        <w:t>Il ciclo di programmazione Budget 2017 è stato concluso nel dicembre 2016 e l’Azienda si è quindi orientata da subito nel perseguimento degli obiettivi negoziati, in continuità con quanto avviato nel 2016 e prestando le medesime attenzioni sia allo sviluppo dei servizi in ottica di risposta ai bisogni dei cittadini che di utilizzo efficiente delle risorse disponibili. Con la DGR 830 del 12 giugno 2017, la programmazione regionale ha formalmente indirizzato l’attività aziendale per il 2017 e le indicazioni contenute saranno oggetto di integrazione nelle schede di budget con il secondo monitoraggio annuale che si terrà nel mese di luglio 2017.</w:t>
      </w:r>
    </w:p>
    <w:p w14:paraId="22B58B8D" w14:textId="24F7EC2F" w:rsidR="00E27519" w:rsidRDefault="0003178C">
      <w:pPr>
        <w:suppressAutoHyphens w:val="0"/>
        <w:spacing w:before="0"/>
        <w:rPr>
          <w:rFonts w:eastAsia="Calibri"/>
          <w:sz w:val="20"/>
          <w:lang w:eastAsia="en-US"/>
        </w:rPr>
      </w:pPr>
      <w:r>
        <w:rPr>
          <w:rFonts w:eastAsia="Calibri"/>
          <w:sz w:val="20"/>
          <w:lang w:eastAsia="en-US"/>
        </w:rPr>
        <w:br w:type="page"/>
      </w:r>
      <w:r w:rsidR="000939DE">
        <w:rPr>
          <w:rFonts w:eastAsia="Calibri"/>
          <w:sz w:val="20"/>
          <w:lang w:eastAsia="en-US"/>
        </w:rPr>
        <w:lastRenderedPageBreak/>
        <w:t xml:space="preserve"> </w:t>
      </w:r>
    </w:p>
    <w:p w14:paraId="29B76AEE" w14:textId="77777777" w:rsidR="00E27519" w:rsidRDefault="0003178C">
      <w:pPr>
        <w:pStyle w:val="Titolo2"/>
        <w:numPr>
          <w:ilvl w:val="1"/>
          <w:numId w:val="6"/>
        </w:numPr>
      </w:pPr>
      <w:bookmarkStart w:id="49" w:name="_Toc485741603"/>
      <w:bookmarkStart w:id="50" w:name="_Toc486415657"/>
      <w:r>
        <w:t>ALLEGATO 1: RELAZIONE DEL DIRETTORE GENERALE AL BILANCIO D’ESERCIZIO 2016</w:t>
      </w:r>
      <w:bookmarkEnd w:id="49"/>
      <w:bookmarkEnd w:id="50"/>
    </w:p>
    <w:p w14:paraId="7C8DE39B" w14:textId="71CDF3D4" w:rsidR="00E27519" w:rsidRDefault="0003178C">
      <w:pPr>
        <w:spacing w:after="120"/>
        <w:contextualSpacing/>
        <w:jc w:val="both"/>
        <w:rPr>
          <w:rFonts w:eastAsia="Calibri"/>
          <w:sz w:val="20"/>
          <w:lang w:eastAsia="en-US"/>
        </w:rPr>
      </w:pPr>
      <w:r>
        <w:rPr>
          <w:sz w:val="21"/>
          <w:szCs w:val="21"/>
        </w:rPr>
        <w:t>Capitolo della Relazione sulla Gestione del Direttore Generale allegata al Bilancio d’esercizio 2016 inerente la rendicontazione delle «azioni poste in essere per il perseguimento degli obiettivi della programmazione annuale regionale di cui alla DGR 1003/201</w:t>
      </w:r>
      <w:r w:rsidR="00E624FB">
        <w:rPr>
          <w:sz w:val="21"/>
          <w:szCs w:val="21"/>
        </w:rPr>
        <w:t>6», Delibera 116 del 28/04/2017, integrata da una colonna con i risultati conseguiti con i dati resisi disponibili al 30 giugno 2017.</w:t>
      </w:r>
    </w:p>
    <w:p w14:paraId="6A61A585" w14:textId="77777777" w:rsidR="00E27519" w:rsidRDefault="00E27519">
      <w:pPr>
        <w:spacing w:after="120"/>
        <w:contextualSpacing/>
        <w:jc w:val="both"/>
        <w:rPr>
          <w:rFonts w:eastAsia="Calibri"/>
          <w:sz w:val="20"/>
          <w:lang w:eastAsia="en-US"/>
        </w:rPr>
      </w:pPr>
    </w:p>
    <w:p w14:paraId="3F17D507" w14:textId="77777777" w:rsidR="00E27519" w:rsidRDefault="00E27519">
      <w:pPr>
        <w:spacing w:after="120"/>
        <w:contextualSpacing/>
        <w:jc w:val="both"/>
        <w:rPr>
          <w:rFonts w:eastAsia="Calibri"/>
          <w:sz w:val="20"/>
          <w:lang w:eastAsia="en-US"/>
        </w:rPr>
      </w:pPr>
    </w:p>
    <w:p w14:paraId="10545519" w14:textId="77777777" w:rsidR="00E27519" w:rsidRDefault="00E27519">
      <w:pPr>
        <w:spacing w:after="120"/>
        <w:contextualSpacing/>
        <w:jc w:val="both"/>
        <w:rPr>
          <w:rFonts w:eastAsia="Calibri"/>
          <w:sz w:val="20"/>
          <w:lang w:eastAsia="en-US"/>
        </w:rPr>
      </w:pPr>
    </w:p>
    <w:p w14:paraId="0E51549C" w14:textId="77777777" w:rsidR="00E27519" w:rsidRDefault="0003178C">
      <w:pPr>
        <w:pStyle w:val="Titolo2"/>
        <w:numPr>
          <w:ilvl w:val="1"/>
          <w:numId w:val="6"/>
        </w:numPr>
      </w:pPr>
      <w:bookmarkStart w:id="51" w:name="_Toc486415658"/>
      <w:r>
        <w:t>ALLEGATO 2: VALUTAZIONE  PRP ANNO 2016 EFFETTUATA DALLA RER</w:t>
      </w:r>
      <w:bookmarkEnd w:id="51"/>
    </w:p>
    <w:p w14:paraId="6127A4CF" w14:textId="77777777" w:rsidR="00E27519" w:rsidRDefault="00E27519">
      <w:pPr>
        <w:spacing w:after="120"/>
        <w:contextualSpacing/>
        <w:jc w:val="both"/>
        <w:rPr>
          <w:rFonts w:eastAsia="Calibri"/>
          <w:sz w:val="20"/>
          <w:lang w:eastAsia="en-US"/>
        </w:rPr>
      </w:pPr>
    </w:p>
    <w:sectPr w:rsidR="00E27519">
      <w:headerReference w:type="default" r:id="rId48"/>
      <w:footerReference w:type="default" r:id="rId49"/>
      <w:type w:val="continuous"/>
      <w:pgSz w:w="11906" w:h="16838"/>
      <w:pgMar w:top="1672" w:right="849" w:bottom="1135" w:left="851" w:header="720" w:footer="142" w:gutter="0"/>
      <w:cols w:space="720"/>
      <w:formProt w:val="0"/>
      <w:docGrid w:linePitch="312"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C394A" w14:textId="77777777" w:rsidR="008E38F3" w:rsidRDefault="008E38F3">
      <w:pPr>
        <w:spacing w:before="0" w:after="0" w:line="240" w:lineRule="auto"/>
      </w:pPr>
      <w:r>
        <w:separator/>
      </w:r>
    </w:p>
  </w:endnote>
  <w:endnote w:type="continuationSeparator" w:id="0">
    <w:p w14:paraId="18B1A86D" w14:textId="77777777" w:rsidR="008E38F3" w:rsidRDefault="008E38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 w:name="Lucida Grande">
    <w:altName w:val="Times New Roman"/>
    <w:charset w:val="00"/>
    <w:family w:val="roman"/>
    <w:pitch w:val="default"/>
  </w:font>
  <w:font w:name="Mangal">
    <w:panose1 w:val="02040503050203030202"/>
    <w:charset w:val="00"/>
    <w:family w:val="roman"/>
    <w:pitch w:val="variable"/>
    <w:sig w:usb0="00008003" w:usb1="00000000" w:usb2="00000000" w:usb3="00000000" w:csb0="00000001" w:csb1="00000000"/>
  </w:font>
  <w:font w:name="ヒラギノ角ゴ Pro W3">
    <w:altName w:val="MS PMincho"/>
    <w:charset w:val="80"/>
    <w:family w:val="roman"/>
    <w:pitch w:val="default"/>
  </w:font>
  <w:font w:name="Arial">
    <w:panose1 w:val="020B0604020202020204"/>
    <w:charset w:val="00"/>
    <w:family w:val="swiss"/>
    <w:pitch w:val="variable"/>
    <w:sig w:usb0="20002A87" w:usb1="00000000" w:usb2="00000000"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ymbol">
    <w:altName w:val="Segoe Print"/>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New Roman MT Std Bd">
    <w:altName w:val="Times New Roman"/>
    <w:charset w:val="00"/>
    <w:family w:val="roman"/>
    <w:pitch w:val="default"/>
  </w:font>
  <w:font w:name="Calibri Bold">
    <w:altName w:val="Calibri"/>
    <w:panose1 w:val="020F0702030404030204"/>
    <w:charset w:val="00"/>
    <w:family w:val="roman"/>
    <w:pitch w:val="default"/>
  </w:font>
  <w:font w:name="Calibri Bold Italic">
    <w:altName w:val="Calibri"/>
    <w:panose1 w:val="020F07020304040A0204"/>
    <w:charset w:val="00"/>
    <w:family w:val="roman"/>
    <w:pitch w:val="default"/>
  </w:font>
  <w:font w:name="Cambria Bold">
    <w:altName w:val="Cambria"/>
    <w:panose1 w:val="02040803050406030204"/>
    <w:charset w:val="00"/>
    <w:family w:val="roman"/>
    <w:pitch w:val="default"/>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B233B" w14:textId="77777777" w:rsidR="00E638DE" w:rsidRDefault="00E638DE">
    <w:pPr>
      <w:pStyle w:val="Pidipagina"/>
      <w:jc w:val="center"/>
    </w:pPr>
    <w:r>
      <w:fldChar w:fldCharType="begin"/>
    </w:r>
    <w:r>
      <w:instrText>PAGE</w:instrText>
    </w:r>
    <w:r>
      <w:fldChar w:fldCharType="separate"/>
    </w:r>
    <w:r w:rsidR="00505BA6">
      <w:rPr>
        <w:noProof/>
      </w:rPr>
      <w:t>5</w:t>
    </w:r>
    <w:r>
      <w:fldChar w:fldCharType="end"/>
    </w:r>
  </w:p>
  <w:p w14:paraId="36436760" w14:textId="77777777" w:rsidR="00E638DE" w:rsidRDefault="00E638D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F3FDC" w14:textId="77777777" w:rsidR="008E38F3" w:rsidRDefault="008E38F3">
      <w:pPr>
        <w:spacing w:before="0" w:after="0" w:line="240" w:lineRule="auto"/>
      </w:pPr>
      <w:r>
        <w:separator/>
      </w:r>
    </w:p>
  </w:footnote>
  <w:footnote w:type="continuationSeparator" w:id="0">
    <w:p w14:paraId="573442E3" w14:textId="77777777" w:rsidR="008E38F3" w:rsidRDefault="008E38F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69632" w14:textId="77777777" w:rsidR="00E638DE" w:rsidRDefault="00E638DE">
    <w:pPr>
      <w:pStyle w:val="Corpodeltesto"/>
      <w:spacing w:after="0"/>
      <w:jc w:val="center"/>
      <w:rPr>
        <w:rFonts w:ascii="Arial" w:hAnsi="Arial"/>
        <w:b/>
        <w:bCs/>
        <w:smallCaps/>
        <w:sz w:val="18"/>
        <w:szCs w:val="18"/>
      </w:rPr>
    </w:pPr>
    <w:r>
      <w:rPr>
        <w:noProof/>
        <w:lang w:eastAsia="it-IT" w:bidi="ar-SA"/>
      </w:rPr>
      <w:drawing>
        <wp:inline distT="0" distB="0" distL="0" distR="0" wp14:anchorId="21133289" wp14:editId="7886816A">
          <wp:extent cx="2329180" cy="543560"/>
          <wp:effectExtent l="0" t="0" r="0" b="0"/>
          <wp:docPr id="24" name="Immagine 1" descr="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1" descr="positivo"/>
                  <pic:cNvPicPr>
                    <a:picLocks noChangeAspect="1" noChangeArrowheads="1"/>
                  </pic:cNvPicPr>
                </pic:nvPicPr>
                <pic:blipFill>
                  <a:blip r:embed="rId1"/>
                  <a:stretch>
                    <a:fillRect/>
                  </a:stretch>
                </pic:blipFill>
                <pic:spPr>
                  <a:xfrm>
                    <a:off x="0" y="0"/>
                    <a:ext cx="2329180" cy="543560"/>
                  </a:xfrm>
                  <a:prstGeom prst="rect">
                    <a:avLst/>
                  </a:prstGeom>
                </pic:spPr>
              </pic:pic>
            </a:graphicData>
          </a:graphic>
        </wp:inline>
      </w:drawing>
    </w:r>
  </w:p>
  <w:p w14:paraId="38DCD34E" w14:textId="77777777" w:rsidR="00E638DE" w:rsidRDefault="00E638DE">
    <w:pPr>
      <w:pStyle w:val="Corpodeltesto"/>
      <w:spacing w:after="0"/>
      <w:jc w:val="center"/>
      <w:rPr>
        <w:rFonts w:ascii="Arial" w:hAnsi="Arial"/>
        <w:b/>
        <w:bCs/>
        <w:smallCaps/>
        <w:sz w:val="18"/>
        <w:szCs w:val="18"/>
      </w:rPr>
    </w:pPr>
  </w:p>
  <w:p w14:paraId="0AA33AB2" w14:textId="77777777" w:rsidR="00E638DE" w:rsidRDefault="00E638DE">
    <w:pPr>
      <w:pStyle w:val="Corpodeltesto"/>
      <w:spacing w:after="0"/>
      <w:jc w:val="center"/>
      <w:rPr>
        <w:rFonts w:ascii="Arial" w:hAnsi="Arial"/>
        <w:b/>
        <w:bCs/>
        <w:smallCaps/>
        <w:sz w:val="18"/>
        <w:szCs w:val="18"/>
      </w:rPr>
    </w:pPr>
  </w:p>
  <w:p w14:paraId="330F6C99" w14:textId="77777777" w:rsidR="00E638DE" w:rsidRDefault="00E638DE">
    <w:pPr>
      <w:pStyle w:val="Corpodeltesto"/>
      <w:spacing w:after="0"/>
      <w:jc w:val="center"/>
      <w:rPr>
        <w:rFonts w:ascii="Arial" w:hAnsi="Arial"/>
        <w:b/>
        <w:bCs/>
        <w:smallCap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65E5"/>
    <w:multiLevelType w:val="multilevel"/>
    <w:tmpl w:val="027B65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A70752"/>
    <w:multiLevelType w:val="multilevel"/>
    <w:tmpl w:val="05A7075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nsid w:val="06BC0ABD"/>
    <w:multiLevelType w:val="multilevel"/>
    <w:tmpl w:val="06BC0A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CF248F9"/>
    <w:multiLevelType w:val="multilevel"/>
    <w:tmpl w:val="0CF248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D855EDC"/>
    <w:multiLevelType w:val="multilevel"/>
    <w:tmpl w:val="0D855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F143006"/>
    <w:multiLevelType w:val="multilevel"/>
    <w:tmpl w:val="0F143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7D344B"/>
    <w:multiLevelType w:val="multilevel"/>
    <w:tmpl w:val="147D34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6DE03B5"/>
    <w:multiLevelType w:val="multilevel"/>
    <w:tmpl w:val="16DE03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80B1555"/>
    <w:multiLevelType w:val="multilevel"/>
    <w:tmpl w:val="180B15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8C85CA7"/>
    <w:multiLevelType w:val="multilevel"/>
    <w:tmpl w:val="18C8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AC04CAE"/>
    <w:multiLevelType w:val="multilevel"/>
    <w:tmpl w:val="2AC04C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DC94295"/>
    <w:multiLevelType w:val="multilevel"/>
    <w:tmpl w:val="2DC942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3EF0CF9"/>
    <w:multiLevelType w:val="multilevel"/>
    <w:tmpl w:val="33EF0C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73C448D"/>
    <w:multiLevelType w:val="multilevel"/>
    <w:tmpl w:val="373C448D"/>
    <w:lvl w:ilvl="0">
      <w:start w:val="1"/>
      <w:numFmt w:val="decimal"/>
      <w:lvlText w:val="%1."/>
      <w:lvlJc w:val="left"/>
      <w:pPr>
        <w:ind w:left="1065" w:hanging="70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8AC5012"/>
    <w:multiLevelType w:val="multilevel"/>
    <w:tmpl w:val="38AC5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B840283"/>
    <w:multiLevelType w:val="multilevel"/>
    <w:tmpl w:val="3B8402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C437E66"/>
    <w:multiLevelType w:val="multilevel"/>
    <w:tmpl w:val="4C437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D8E73B7"/>
    <w:multiLevelType w:val="multilevel"/>
    <w:tmpl w:val="4D8E73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06B5D16"/>
    <w:multiLevelType w:val="multilevel"/>
    <w:tmpl w:val="506B5D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27351CC"/>
    <w:multiLevelType w:val="multilevel"/>
    <w:tmpl w:val="527351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13F71AF"/>
    <w:multiLevelType w:val="multilevel"/>
    <w:tmpl w:val="613F71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456007E"/>
    <w:multiLevelType w:val="multilevel"/>
    <w:tmpl w:val="6456007E"/>
    <w:lvl w:ilvl="0">
      <w:start w:val="1"/>
      <w:numFmt w:val="bullet"/>
      <w:pStyle w:val="Titolo1"/>
      <w:lvlText w:val=""/>
      <w:lvlJc w:val="left"/>
      <w:pPr>
        <w:ind w:left="432" w:hanging="432"/>
      </w:pPr>
      <w:rPr>
        <w:rFonts w:ascii="Symbol" w:hAnsi="Symbol" w:cs="Symbol" w:hint="default"/>
      </w:rPr>
    </w:lvl>
    <w:lvl w:ilvl="1">
      <w:start w:val="1"/>
      <w:numFmt w:val="none"/>
      <w:pStyle w:val="Titolo2"/>
      <w:suff w:val="nothing"/>
      <w:lvlText w:val=""/>
      <w:lvlJc w:val="left"/>
      <w:pPr>
        <w:ind w:left="576" w:hanging="576"/>
      </w:pPr>
      <w:rPr>
        <w:rFonts w:cs="Times New Roman"/>
      </w:rPr>
    </w:lvl>
    <w:lvl w:ilvl="2">
      <w:start w:val="1"/>
      <w:numFmt w:val="none"/>
      <w:pStyle w:val="Titolo3"/>
      <w:suff w:val="nothing"/>
      <w:lvlText w:val=""/>
      <w:lvlJc w:val="left"/>
      <w:pPr>
        <w:ind w:left="720" w:hanging="720"/>
      </w:pPr>
      <w:rPr>
        <w:rFonts w:cs="Times New Roman"/>
      </w:rPr>
    </w:lvl>
    <w:lvl w:ilvl="3">
      <w:start w:val="1"/>
      <w:numFmt w:val="none"/>
      <w:pStyle w:val="Titolo4"/>
      <w:suff w:val="nothing"/>
      <w:lvlText w:val=""/>
      <w:lvlJc w:val="left"/>
      <w:pPr>
        <w:ind w:left="864" w:hanging="864"/>
      </w:pPr>
      <w:rPr>
        <w:rFonts w:cs="Times New Roman"/>
      </w:r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22">
    <w:nsid w:val="656340BE"/>
    <w:multiLevelType w:val="multilevel"/>
    <w:tmpl w:val="656340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9604D11"/>
    <w:multiLevelType w:val="multilevel"/>
    <w:tmpl w:val="69604D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6FE45F74"/>
    <w:multiLevelType w:val="multilevel"/>
    <w:tmpl w:val="6FE45F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03E54B1"/>
    <w:multiLevelType w:val="multilevel"/>
    <w:tmpl w:val="703E54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20C1751"/>
    <w:multiLevelType w:val="multilevel"/>
    <w:tmpl w:val="720C17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3042411"/>
    <w:multiLevelType w:val="multilevel"/>
    <w:tmpl w:val="7304241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nsid w:val="73194B8B"/>
    <w:multiLevelType w:val="multilevel"/>
    <w:tmpl w:val="506B5D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51A2B6A"/>
    <w:multiLevelType w:val="multilevel"/>
    <w:tmpl w:val="751A2B6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6FB4AAE"/>
    <w:multiLevelType w:val="multilevel"/>
    <w:tmpl w:val="76FB4AAE"/>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31">
    <w:nsid w:val="791C6A15"/>
    <w:multiLevelType w:val="multilevel"/>
    <w:tmpl w:val="791C6A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8"/>
  </w:num>
  <w:num w:numId="3">
    <w:abstractNumId w:val="13"/>
  </w:num>
  <w:num w:numId="4">
    <w:abstractNumId w:val="0"/>
  </w:num>
  <w:num w:numId="5">
    <w:abstractNumId w:val="20"/>
  </w:num>
  <w:num w:numId="6">
    <w:abstractNumId w:val="30"/>
  </w:num>
  <w:num w:numId="7">
    <w:abstractNumId w:val="7"/>
  </w:num>
  <w:num w:numId="8">
    <w:abstractNumId w:val="19"/>
  </w:num>
  <w:num w:numId="9">
    <w:abstractNumId w:val="6"/>
  </w:num>
  <w:num w:numId="10">
    <w:abstractNumId w:val="11"/>
  </w:num>
  <w:num w:numId="11">
    <w:abstractNumId w:val="17"/>
  </w:num>
  <w:num w:numId="12">
    <w:abstractNumId w:val="5"/>
  </w:num>
  <w:num w:numId="13">
    <w:abstractNumId w:val="31"/>
  </w:num>
  <w:num w:numId="14">
    <w:abstractNumId w:val="25"/>
  </w:num>
  <w:num w:numId="15">
    <w:abstractNumId w:val="24"/>
  </w:num>
  <w:num w:numId="16">
    <w:abstractNumId w:val="3"/>
  </w:num>
  <w:num w:numId="17">
    <w:abstractNumId w:val="8"/>
  </w:num>
  <w:num w:numId="18">
    <w:abstractNumId w:val="22"/>
  </w:num>
  <w:num w:numId="19">
    <w:abstractNumId w:val="10"/>
  </w:num>
  <w:num w:numId="20">
    <w:abstractNumId w:val="15"/>
  </w:num>
  <w:num w:numId="21">
    <w:abstractNumId w:val="16"/>
  </w:num>
  <w:num w:numId="22">
    <w:abstractNumId w:val="29"/>
  </w:num>
  <w:num w:numId="23">
    <w:abstractNumId w:val="9"/>
  </w:num>
  <w:num w:numId="24">
    <w:abstractNumId w:val="26"/>
  </w:num>
  <w:num w:numId="25">
    <w:abstractNumId w:val="1"/>
  </w:num>
  <w:num w:numId="26">
    <w:abstractNumId w:val="27"/>
  </w:num>
  <w:num w:numId="27">
    <w:abstractNumId w:val="2"/>
  </w:num>
  <w:num w:numId="28">
    <w:abstractNumId w:val="4"/>
  </w:num>
  <w:num w:numId="29">
    <w:abstractNumId w:val="23"/>
  </w:num>
  <w:num w:numId="30">
    <w:abstractNumId w:val="12"/>
  </w:num>
  <w:num w:numId="31">
    <w:abstractNumId w:val="1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432"/>
    <w:rsid w:val="000201F8"/>
    <w:rsid w:val="00021534"/>
    <w:rsid w:val="0002337B"/>
    <w:rsid w:val="0003178C"/>
    <w:rsid w:val="00032F08"/>
    <w:rsid w:val="00033563"/>
    <w:rsid w:val="0003480E"/>
    <w:rsid w:val="00044BF3"/>
    <w:rsid w:val="00052DA1"/>
    <w:rsid w:val="00054818"/>
    <w:rsid w:val="000717C0"/>
    <w:rsid w:val="00071C13"/>
    <w:rsid w:val="00076635"/>
    <w:rsid w:val="00084CF9"/>
    <w:rsid w:val="00084F12"/>
    <w:rsid w:val="000905E8"/>
    <w:rsid w:val="000939DE"/>
    <w:rsid w:val="00095D4E"/>
    <w:rsid w:val="0009770C"/>
    <w:rsid w:val="000A052D"/>
    <w:rsid w:val="000A3EBB"/>
    <w:rsid w:val="000A4E6E"/>
    <w:rsid w:val="000B5FFF"/>
    <w:rsid w:val="000C01AC"/>
    <w:rsid w:val="000C0665"/>
    <w:rsid w:val="000C11BD"/>
    <w:rsid w:val="000C195A"/>
    <w:rsid w:val="000C67F3"/>
    <w:rsid w:val="000E037F"/>
    <w:rsid w:val="000E53FB"/>
    <w:rsid w:val="00100A77"/>
    <w:rsid w:val="0010421F"/>
    <w:rsid w:val="001053C9"/>
    <w:rsid w:val="00106573"/>
    <w:rsid w:val="00111E86"/>
    <w:rsid w:val="001230EC"/>
    <w:rsid w:val="00123417"/>
    <w:rsid w:val="0012397C"/>
    <w:rsid w:val="00133C16"/>
    <w:rsid w:val="0013567B"/>
    <w:rsid w:val="00143BFD"/>
    <w:rsid w:val="00146748"/>
    <w:rsid w:val="00155CC7"/>
    <w:rsid w:val="00157DA7"/>
    <w:rsid w:val="00160BBC"/>
    <w:rsid w:val="00164FE3"/>
    <w:rsid w:val="001729FE"/>
    <w:rsid w:val="00172D89"/>
    <w:rsid w:val="00173AD8"/>
    <w:rsid w:val="00185432"/>
    <w:rsid w:val="0019276C"/>
    <w:rsid w:val="00197511"/>
    <w:rsid w:val="001C5068"/>
    <w:rsid w:val="001D10B0"/>
    <w:rsid w:val="001D3AD3"/>
    <w:rsid w:val="001D3C77"/>
    <w:rsid w:val="001E3EDE"/>
    <w:rsid w:val="001F2B92"/>
    <w:rsid w:val="001F5BA5"/>
    <w:rsid w:val="001F624C"/>
    <w:rsid w:val="002223AB"/>
    <w:rsid w:val="00224115"/>
    <w:rsid w:val="00224BF0"/>
    <w:rsid w:val="002265F6"/>
    <w:rsid w:val="002351BB"/>
    <w:rsid w:val="00240D56"/>
    <w:rsid w:val="002424A4"/>
    <w:rsid w:val="0024761C"/>
    <w:rsid w:val="00254FDB"/>
    <w:rsid w:val="00260976"/>
    <w:rsid w:val="002619B3"/>
    <w:rsid w:val="0027241D"/>
    <w:rsid w:val="00273DB3"/>
    <w:rsid w:val="00273DF4"/>
    <w:rsid w:val="00276F33"/>
    <w:rsid w:val="002817DE"/>
    <w:rsid w:val="00281FE7"/>
    <w:rsid w:val="00284B11"/>
    <w:rsid w:val="00285906"/>
    <w:rsid w:val="0029028A"/>
    <w:rsid w:val="002912FB"/>
    <w:rsid w:val="00291ACD"/>
    <w:rsid w:val="0029286B"/>
    <w:rsid w:val="00293967"/>
    <w:rsid w:val="0029466E"/>
    <w:rsid w:val="002B4FF7"/>
    <w:rsid w:val="002C15E5"/>
    <w:rsid w:val="002C3534"/>
    <w:rsid w:val="002C5D48"/>
    <w:rsid w:val="002C7521"/>
    <w:rsid w:val="002D0F3D"/>
    <w:rsid w:val="002D7BDF"/>
    <w:rsid w:val="002E080C"/>
    <w:rsid w:val="002E3A67"/>
    <w:rsid w:val="002F6617"/>
    <w:rsid w:val="00301072"/>
    <w:rsid w:val="0031328A"/>
    <w:rsid w:val="00315DEF"/>
    <w:rsid w:val="00321DC3"/>
    <w:rsid w:val="00327560"/>
    <w:rsid w:val="00343E71"/>
    <w:rsid w:val="0034477D"/>
    <w:rsid w:val="00354125"/>
    <w:rsid w:val="003610AB"/>
    <w:rsid w:val="003642B0"/>
    <w:rsid w:val="003650A8"/>
    <w:rsid w:val="00375261"/>
    <w:rsid w:val="00380A32"/>
    <w:rsid w:val="00380FBB"/>
    <w:rsid w:val="003852A7"/>
    <w:rsid w:val="00387816"/>
    <w:rsid w:val="003A0BF9"/>
    <w:rsid w:val="003A10B1"/>
    <w:rsid w:val="003A3F9D"/>
    <w:rsid w:val="003A7EF7"/>
    <w:rsid w:val="003C057A"/>
    <w:rsid w:val="003C3809"/>
    <w:rsid w:val="003C708B"/>
    <w:rsid w:val="003E14C3"/>
    <w:rsid w:val="003E5D36"/>
    <w:rsid w:val="003E6534"/>
    <w:rsid w:val="003F0CAF"/>
    <w:rsid w:val="004024B1"/>
    <w:rsid w:val="00407160"/>
    <w:rsid w:val="004078AA"/>
    <w:rsid w:val="00415AFA"/>
    <w:rsid w:val="00415FEE"/>
    <w:rsid w:val="00420CEA"/>
    <w:rsid w:val="00424257"/>
    <w:rsid w:val="00430AAB"/>
    <w:rsid w:val="0043144F"/>
    <w:rsid w:val="00432868"/>
    <w:rsid w:val="00432C35"/>
    <w:rsid w:val="00433279"/>
    <w:rsid w:val="0044019C"/>
    <w:rsid w:val="00441B14"/>
    <w:rsid w:val="00453AE3"/>
    <w:rsid w:val="00463DD2"/>
    <w:rsid w:val="00464820"/>
    <w:rsid w:val="00477776"/>
    <w:rsid w:val="00480BE6"/>
    <w:rsid w:val="00481D52"/>
    <w:rsid w:val="0048227F"/>
    <w:rsid w:val="00485A95"/>
    <w:rsid w:val="0049106C"/>
    <w:rsid w:val="00495612"/>
    <w:rsid w:val="00495D0D"/>
    <w:rsid w:val="004A01C6"/>
    <w:rsid w:val="004A038E"/>
    <w:rsid w:val="004A03D6"/>
    <w:rsid w:val="004A31B6"/>
    <w:rsid w:val="004C15A9"/>
    <w:rsid w:val="004C15F0"/>
    <w:rsid w:val="004D019F"/>
    <w:rsid w:val="004D3533"/>
    <w:rsid w:val="004D6055"/>
    <w:rsid w:val="004E6C9D"/>
    <w:rsid w:val="004F3F83"/>
    <w:rsid w:val="004F5859"/>
    <w:rsid w:val="00505BA6"/>
    <w:rsid w:val="00510150"/>
    <w:rsid w:val="00510C6F"/>
    <w:rsid w:val="005204A4"/>
    <w:rsid w:val="00521186"/>
    <w:rsid w:val="005263C5"/>
    <w:rsid w:val="00526471"/>
    <w:rsid w:val="00527E6E"/>
    <w:rsid w:val="005353E2"/>
    <w:rsid w:val="0053791E"/>
    <w:rsid w:val="00546AFD"/>
    <w:rsid w:val="00554716"/>
    <w:rsid w:val="00554EF9"/>
    <w:rsid w:val="00560E5F"/>
    <w:rsid w:val="0056147D"/>
    <w:rsid w:val="00564A44"/>
    <w:rsid w:val="0056504F"/>
    <w:rsid w:val="005818C3"/>
    <w:rsid w:val="005849F6"/>
    <w:rsid w:val="00594439"/>
    <w:rsid w:val="005A2343"/>
    <w:rsid w:val="005A350D"/>
    <w:rsid w:val="005B0529"/>
    <w:rsid w:val="005B0F3F"/>
    <w:rsid w:val="005B2238"/>
    <w:rsid w:val="005B4AE1"/>
    <w:rsid w:val="005C1197"/>
    <w:rsid w:val="005C5A8C"/>
    <w:rsid w:val="005C5D58"/>
    <w:rsid w:val="005D0400"/>
    <w:rsid w:val="005D33AC"/>
    <w:rsid w:val="005D4A3A"/>
    <w:rsid w:val="005E5BDA"/>
    <w:rsid w:val="005E68AF"/>
    <w:rsid w:val="005E762C"/>
    <w:rsid w:val="005E7A93"/>
    <w:rsid w:val="005E7EDC"/>
    <w:rsid w:val="005F2264"/>
    <w:rsid w:val="005F2526"/>
    <w:rsid w:val="005F5274"/>
    <w:rsid w:val="005F7452"/>
    <w:rsid w:val="005F7489"/>
    <w:rsid w:val="0060165C"/>
    <w:rsid w:val="00605093"/>
    <w:rsid w:val="00605CFF"/>
    <w:rsid w:val="00610C50"/>
    <w:rsid w:val="00613485"/>
    <w:rsid w:val="00615E39"/>
    <w:rsid w:val="006171CA"/>
    <w:rsid w:val="00617B46"/>
    <w:rsid w:val="006249B6"/>
    <w:rsid w:val="006261DE"/>
    <w:rsid w:val="00627A35"/>
    <w:rsid w:val="00630949"/>
    <w:rsid w:val="00631E06"/>
    <w:rsid w:val="00632652"/>
    <w:rsid w:val="00632D41"/>
    <w:rsid w:val="00632E0C"/>
    <w:rsid w:val="00633917"/>
    <w:rsid w:val="006477F7"/>
    <w:rsid w:val="006533C7"/>
    <w:rsid w:val="00655BD7"/>
    <w:rsid w:val="006607B2"/>
    <w:rsid w:val="006627FF"/>
    <w:rsid w:val="006666BD"/>
    <w:rsid w:val="00667476"/>
    <w:rsid w:val="00671773"/>
    <w:rsid w:val="00673833"/>
    <w:rsid w:val="00676144"/>
    <w:rsid w:val="00676313"/>
    <w:rsid w:val="00676780"/>
    <w:rsid w:val="00691BB1"/>
    <w:rsid w:val="00693744"/>
    <w:rsid w:val="00695370"/>
    <w:rsid w:val="006976F6"/>
    <w:rsid w:val="006B1083"/>
    <w:rsid w:val="006B4CC4"/>
    <w:rsid w:val="006C01BD"/>
    <w:rsid w:val="006C03BF"/>
    <w:rsid w:val="006C53C6"/>
    <w:rsid w:val="006C63B9"/>
    <w:rsid w:val="006D1D3E"/>
    <w:rsid w:val="006E0BC8"/>
    <w:rsid w:val="006E129B"/>
    <w:rsid w:val="006E1B10"/>
    <w:rsid w:val="006E254F"/>
    <w:rsid w:val="006F0952"/>
    <w:rsid w:val="006F49C4"/>
    <w:rsid w:val="00711D09"/>
    <w:rsid w:val="007134B9"/>
    <w:rsid w:val="00715913"/>
    <w:rsid w:val="00715A7B"/>
    <w:rsid w:val="00716BDE"/>
    <w:rsid w:val="00720379"/>
    <w:rsid w:val="0072414F"/>
    <w:rsid w:val="007275EE"/>
    <w:rsid w:val="007401A3"/>
    <w:rsid w:val="00741F74"/>
    <w:rsid w:val="0074387C"/>
    <w:rsid w:val="0075169B"/>
    <w:rsid w:val="00757062"/>
    <w:rsid w:val="007645B1"/>
    <w:rsid w:val="00770748"/>
    <w:rsid w:val="007803BB"/>
    <w:rsid w:val="00782901"/>
    <w:rsid w:val="00783FBE"/>
    <w:rsid w:val="007844CF"/>
    <w:rsid w:val="007863F1"/>
    <w:rsid w:val="00787A73"/>
    <w:rsid w:val="00791F75"/>
    <w:rsid w:val="007948B5"/>
    <w:rsid w:val="00795A02"/>
    <w:rsid w:val="00797088"/>
    <w:rsid w:val="007C5370"/>
    <w:rsid w:val="007C537A"/>
    <w:rsid w:val="007C5480"/>
    <w:rsid w:val="007C573B"/>
    <w:rsid w:val="007D1F1E"/>
    <w:rsid w:val="007D4252"/>
    <w:rsid w:val="007E2682"/>
    <w:rsid w:val="007E3A09"/>
    <w:rsid w:val="007E7220"/>
    <w:rsid w:val="007F076D"/>
    <w:rsid w:val="007F2EEA"/>
    <w:rsid w:val="007F2EF8"/>
    <w:rsid w:val="007F56F6"/>
    <w:rsid w:val="0080410F"/>
    <w:rsid w:val="008070ED"/>
    <w:rsid w:val="00821EC3"/>
    <w:rsid w:val="00825E13"/>
    <w:rsid w:val="00834003"/>
    <w:rsid w:val="00836FB6"/>
    <w:rsid w:val="00840C78"/>
    <w:rsid w:val="00841EA3"/>
    <w:rsid w:val="00851BC0"/>
    <w:rsid w:val="00852BF7"/>
    <w:rsid w:val="0085371A"/>
    <w:rsid w:val="008563BE"/>
    <w:rsid w:val="00860302"/>
    <w:rsid w:val="00860922"/>
    <w:rsid w:val="0086718E"/>
    <w:rsid w:val="00871355"/>
    <w:rsid w:val="00871AD9"/>
    <w:rsid w:val="0087321D"/>
    <w:rsid w:val="008755EF"/>
    <w:rsid w:val="008808B2"/>
    <w:rsid w:val="00880A50"/>
    <w:rsid w:val="008901E0"/>
    <w:rsid w:val="00894FF7"/>
    <w:rsid w:val="00897E90"/>
    <w:rsid w:val="008A0D1E"/>
    <w:rsid w:val="008A13FC"/>
    <w:rsid w:val="008A3AEC"/>
    <w:rsid w:val="008A5847"/>
    <w:rsid w:val="008C01B0"/>
    <w:rsid w:val="008C087C"/>
    <w:rsid w:val="008D7E98"/>
    <w:rsid w:val="008E1BA6"/>
    <w:rsid w:val="008E37FD"/>
    <w:rsid w:val="008E38F3"/>
    <w:rsid w:val="008F087D"/>
    <w:rsid w:val="008F32A3"/>
    <w:rsid w:val="008F5C98"/>
    <w:rsid w:val="009016AB"/>
    <w:rsid w:val="0090222A"/>
    <w:rsid w:val="0090305B"/>
    <w:rsid w:val="00907A95"/>
    <w:rsid w:val="009114B6"/>
    <w:rsid w:val="00911F3A"/>
    <w:rsid w:val="0091467A"/>
    <w:rsid w:val="0091529C"/>
    <w:rsid w:val="009222FA"/>
    <w:rsid w:val="009242FD"/>
    <w:rsid w:val="0093218D"/>
    <w:rsid w:val="00933A65"/>
    <w:rsid w:val="009377D9"/>
    <w:rsid w:val="00945D53"/>
    <w:rsid w:val="00954A1C"/>
    <w:rsid w:val="00954A79"/>
    <w:rsid w:val="00960194"/>
    <w:rsid w:val="00961974"/>
    <w:rsid w:val="00965179"/>
    <w:rsid w:val="009652B9"/>
    <w:rsid w:val="0097081F"/>
    <w:rsid w:val="00970BEA"/>
    <w:rsid w:val="00970ED6"/>
    <w:rsid w:val="0097198D"/>
    <w:rsid w:val="00973260"/>
    <w:rsid w:val="00980534"/>
    <w:rsid w:val="00981EE0"/>
    <w:rsid w:val="00992CB2"/>
    <w:rsid w:val="00996093"/>
    <w:rsid w:val="009A73C3"/>
    <w:rsid w:val="009B36FA"/>
    <w:rsid w:val="009B3DAF"/>
    <w:rsid w:val="009B5879"/>
    <w:rsid w:val="009C48B1"/>
    <w:rsid w:val="009C6D05"/>
    <w:rsid w:val="009D1991"/>
    <w:rsid w:val="009D523E"/>
    <w:rsid w:val="009D5781"/>
    <w:rsid w:val="009F1816"/>
    <w:rsid w:val="009F26AE"/>
    <w:rsid w:val="009F6D0F"/>
    <w:rsid w:val="00A013D8"/>
    <w:rsid w:val="00A04DCE"/>
    <w:rsid w:val="00A07766"/>
    <w:rsid w:val="00A11170"/>
    <w:rsid w:val="00A12F63"/>
    <w:rsid w:val="00A25645"/>
    <w:rsid w:val="00A27DC8"/>
    <w:rsid w:val="00A37C34"/>
    <w:rsid w:val="00A40D3C"/>
    <w:rsid w:val="00A4165B"/>
    <w:rsid w:val="00A4191E"/>
    <w:rsid w:val="00A55C6D"/>
    <w:rsid w:val="00A55E0B"/>
    <w:rsid w:val="00A56238"/>
    <w:rsid w:val="00A6054A"/>
    <w:rsid w:val="00A67899"/>
    <w:rsid w:val="00A73093"/>
    <w:rsid w:val="00A7327E"/>
    <w:rsid w:val="00A805F7"/>
    <w:rsid w:val="00A81E7D"/>
    <w:rsid w:val="00A8281F"/>
    <w:rsid w:val="00A94188"/>
    <w:rsid w:val="00A95220"/>
    <w:rsid w:val="00AA2AA8"/>
    <w:rsid w:val="00AA5E7D"/>
    <w:rsid w:val="00AA75B8"/>
    <w:rsid w:val="00AB3B7C"/>
    <w:rsid w:val="00AC69C1"/>
    <w:rsid w:val="00AC7368"/>
    <w:rsid w:val="00AD0C79"/>
    <w:rsid w:val="00AD5882"/>
    <w:rsid w:val="00AD75CE"/>
    <w:rsid w:val="00AF5AEF"/>
    <w:rsid w:val="00AF67BA"/>
    <w:rsid w:val="00AF73AC"/>
    <w:rsid w:val="00B006F8"/>
    <w:rsid w:val="00B04146"/>
    <w:rsid w:val="00B05480"/>
    <w:rsid w:val="00B2698C"/>
    <w:rsid w:val="00B306D2"/>
    <w:rsid w:val="00B30CB5"/>
    <w:rsid w:val="00B32D23"/>
    <w:rsid w:val="00B426EE"/>
    <w:rsid w:val="00B4592D"/>
    <w:rsid w:val="00B53B67"/>
    <w:rsid w:val="00B564B5"/>
    <w:rsid w:val="00B603A7"/>
    <w:rsid w:val="00B703A6"/>
    <w:rsid w:val="00B73292"/>
    <w:rsid w:val="00B75555"/>
    <w:rsid w:val="00B75790"/>
    <w:rsid w:val="00B7584A"/>
    <w:rsid w:val="00B86318"/>
    <w:rsid w:val="00B8635D"/>
    <w:rsid w:val="00B86D69"/>
    <w:rsid w:val="00B950D6"/>
    <w:rsid w:val="00B95375"/>
    <w:rsid w:val="00BA2447"/>
    <w:rsid w:val="00BA7A19"/>
    <w:rsid w:val="00BB7395"/>
    <w:rsid w:val="00BC0E28"/>
    <w:rsid w:val="00BC13F8"/>
    <w:rsid w:val="00BC1608"/>
    <w:rsid w:val="00BC50DF"/>
    <w:rsid w:val="00BD3A3A"/>
    <w:rsid w:val="00BD43FD"/>
    <w:rsid w:val="00BD5713"/>
    <w:rsid w:val="00BE15A1"/>
    <w:rsid w:val="00BE2A9C"/>
    <w:rsid w:val="00BE343A"/>
    <w:rsid w:val="00BF11E4"/>
    <w:rsid w:val="00BF3E34"/>
    <w:rsid w:val="00BF6017"/>
    <w:rsid w:val="00C002D3"/>
    <w:rsid w:val="00C14375"/>
    <w:rsid w:val="00C175F2"/>
    <w:rsid w:val="00C20CA4"/>
    <w:rsid w:val="00C3048F"/>
    <w:rsid w:val="00C30566"/>
    <w:rsid w:val="00C35268"/>
    <w:rsid w:val="00C36EC1"/>
    <w:rsid w:val="00C42D8A"/>
    <w:rsid w:val="00C43D9E"/>
    <w:rsid w:val="00C45411"/>
    <w:rsid w:val="00C5181C"/>
    <w:rsid w:val="00C56F97"/>
    <w:rsid w:val="00C65428"/>
    <w:rsid w:val="00C67868"/>
    <w:rsid w:val="00C70344"/>
    <w:rsid w:val="00C83A69"/>
    <w:rsid w:val="00C8633E"/>
    <w:rsid w:val="00CA006B"/>
    <w:rsid w:val="00CA334E"/>
    <w:rsid w:val="00CA4573"/>
    <w:rsid w:val="00CC595F"/>
    <w:rsid w:val="00CE1803"/>
    <w:rsid w:val="00CF3DB3"/>
    <w:rsid w:val="00CF7B25"/>
    <w:rsid w:val="00D00F64"/>
    <w:rsid w:val="00D1093E"/>
    <w:rsid w:val="00D12533"/>
    <w:rsid w:val="00D17EAE"/>
    <w:rsid w:val="00D2592C"/>
    <w:rsid w:val="00D26DE2"/>
    <w:rsid w:val="00D34782"/>
    <w:rsid w:val="00D34D30"/>
    <w:rsid w:val="00D36E11"/>
    <w:rsid w:val="00D3769E"/>
    <w:rsid w:val="00D40A52"/>
    <w:rsid w:val="00D421AE"/>
    <w:rsid w:val="00D43214"/>
    <w:rsid w:val="00D46531"/>
    <w:rsid w:val="00D46713"/>
    <w:rsid w:val="00D54DAD"/>
    <w:rsid w:val="00D556F0"/>
    <w:rsid w:val="00D75439"/>
    <w:rsid w:val="00D77024"/>
    <w:rsid w:val="00D83AEE"/>
    <w:rsid w:val="00D8578C"/>
    <w:rsid w:val="00D86521"/>
    <w:rsid w:val="00D947E6"/>
    <w:rsid w:val="00D954AF"/>
    <w:rsid w:val="00DA6750"/>
    <w:rsid w:val="00DB052D"/>
    <w:rsid w:val="00DB1674"/>
    <w:rsid w:val="00DB2FB5"/>
    <w:rsid w:val="00DB3B86"/>
    <w:rsid w:val="00DB45DC"/>
    <w:rsid w:val="00DB6076"/>
    <w:rsid w:val="00DC351D"/>
    <w:rsid w:val="00DC36F2"/>
    <w:rsid w:val="00DD4B5B"/>
    <w:rsid w:val="00DF06C1"/>
    <w:rsid w:val="00DF20BB"/>
    <w:rsid w:val="00E045CF"/>
    <w:rsid w:val="00E06E22"/>
    <w:rsid w:val="00E1059D"/>
    <w:rsid w:val="00E16BE9"/>
    <w:rsid w:val="00E267B3"/>
    <w:rsid w:val="00E2739E"/>
    <w:rsid w:val="00E27519"/>
    <w:rsid w:val="00E30F5B"/>
    <w:rsid w:val="00E41EB0"/>
    <w:rsid w:val="00E44F63"/>
    <w:rsid w:val="00E56A77"/>
    <w:rsid w:val="00E610C0"/>
    <w:rsid w:val="00E617EC"/>
    <w:rsid w:val="00E624FB"/>
    <w:rsid w:val="00E638DE"/>
    <w:rsid w:val="00E81A3B"/>
    <w:rsid w:val="00E8699E"/>
    <w:rsid w:val="00E93E08"/>
    <w:rsid w:val="00E9522E"/>
    <w:rsid w:val="00E97182"/>
    <w:rsid w:val="00E9749D"/>
    <w:rsid w:val="00EA17E8"/>
    <w:rsid w:val="00EA2DDE"/>
    <w:rsid w:val="00EA3DEE"/>
    <w:rsid w:val="00EA746C"/>
    <w:rsid w:val="00EB11DC"/>
    <w:rsid w:val="00EB2092"/>
    <w:rsid w:val="00EB4290"/>
    <w:rsid w:val="00EB61FB"/>
    <w:rsid w:val="00EB6A16"/>
    <w:rsid w:val="00EC2755"/>
    <w:rsid w:val="00ED7AE1"/>
    <w:rsid w:val="00EE312D"/>
    <w:rsid w:val="00EE7EA3"/>
    <w:rsid w:val="00EF1504"/>
    <w:rsid w:val="00EF3B4C"/>
    <w:rsid w:val="00EF624A"/>
    <w:rsid w:val="00F00943"/>
    <w:rsid w:val="00F15690"/>
    <w:rsid w:val="00F17F1E"/>
    <w:rsid w:val="00F33ECC"/>
    <w:rsid w:val="00F370EB"/>
    <w:rsid w:val="00F450E9"/>
    <w:rsid w:val="00F47D0D"/>
    <w:rsid w:val="00F50ACA"/>
    <w:rsid w:val="00F602B0"/>
    <w:rsid w:val="00F60EFA"/>
    <w:rsid w:val="00F70F06"/>
    <w:rsid w:val="00F75BE0"/>
    <w:rsid w:val="00F81E45"/>
    <w:rsid w:val="00F8438E"/>
    <w:rsid w:val="00F87AC0"/>
    <w:rsid w:val="00F921BA"/>
    <w:rsid w:val="00FA1F03"/>
    <w:rsid w:val="00FA2946"/>
    <w:rsid w:val="00FA6FFB"/>
    <w:rsid w:val="00FB3DA3"/>
    <w:rsid w:val="00FC26D3"/>
    <w:rsid w:val="00FC3A58"/>
    <w:rsid w:val="00FC41F3"/>
    <w:rsid w:val="00FD2279"/>
    <w:rsid w:val="00FD6E9B"/>
    <w:rsid w:val="00FE5A04"/>
    <w:rsid w:val="00FF090A"/>
    <w:rsid w:val="00FF5274"/>
    <w:rsid w:val="00FF6981"/>
    <w:rsid w:val="00FF75EB"/>
    <w:rsid w:val="04353706"/>
    <w:rsid w:val="13977079"/>
    <w:rsid w:val="18710D39"/>
    <w:rsid w:val="190140D2"/>
    <w:rsid w:val="2C271A38"/>
    <w:rsid w:val="2D2B6D4C"/>
    <w:rsid w:val="344B54C1"/>
    <w:rsid w:val="40FF793F"/>
    <w:rsid w:val="42B00FD9"/>
    <w:rsid w:val="4D5819FD"/>
    <w:rsid w:val="4D727D7B"/>
    <w:rsid w:val="52C10EE2"/>
    <w:rsid w:val="55593DC3"/>
    <w:rsid w:val="57073FD2"/>
    <w:rsid w:val="5AF156A4"/>
    <w:rsid w:val="5C7443E3"/>
    <w:rsid w:val="5E90571B"/>
    <w:rsid w:val="63415F2C"/>
    <w:rsid w:val="666E532E"/>
    <w:rsid w:val="75C235C3"/>
  </w:rsids>
  <m:mathPr>
    <m:mathFont m:val="Cambria Math"/>
    <m:brkBin m:val="before"/>
    <m:brkBinSub m:val="--"/>
    <m:smallFrac m:val="0"/>
    <m:dispDef/>
    <m:lMargin m:val="0"/>
    <m:rMargin m:val="0"/>
    <m:defJc m:val="centerGroup"/>
    <m:wrapIndent m:val="1440"/>
    <m:intLim m:val="subSup"/>
    <m:naryLim m:val="undOvr"/>
  </m:mathPr>
  <w:themeFontLang w:val="it-IT"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t-IT" w:eastAsia="it-IT"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locked="1" w:unhideWhenUsed="1" w:qFormat="1"/>
    <w:lsdException w:name="heading 6" w:locked="1" w:uiPriority="9" w:qFormat="1"/>
    <w:lsdException w:name="heading 7" w:locked="1" w:semiHidden="1" w:unhideWhenUsed="1" w:qFormat="1"/>
    <w:lsdException w:name="heading 8" w:locked="1" w:unhideWhenUsed="1" w:qFormat="1"/>
    <w:lsdException w:name="heading 9" w:locked="1" w:unhideWhenUsed="1" w:qFormat="1"/>
    <w:lsdException w:name="index 1" w:locked="1" w:uiPriority="39"/>
    <w:lsdException w:name="index 2" w:locked="1" w:uiPriority="39"/>
    <w:lsdException w:name="index 3" w:locked="1" w:uiPriority="39"/>
    <w:lsdException w:name="index 4" w:locked="1" w:uiPriority="39" w:unhideWhenUsed="1"/>
    <w:lsdException w:name="index 5" w:locked="1" w:uiPriority="39" w:unhideWhenUsed="1"/>
    <w:lsdException w:name="index 6" w:locked="1" w:uiPriority="39" w:unhideWhenUsed="1"/>
    <w:lsdException w:name="index 7" w:locked="1" w:uiPriority="39" w:unhideWhenUsed="1"/>
    <w:lsdException w:name="index 8" w:locked="1" w:uiPriority="39" w:unhideWhenUsed="1"/>
    <w:lsdException w:name="index 9" w:locked="1" w:uiPriority="39" w:unhideWhenUsed="1"/>
    <w:lsdException w:name="toc 1" w:locked="1" w:uiPriority="39" w:unhideWhenUsed="1"/>
    <w:lsdException w:name="toc 2" w:locked="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uiPriority="99" w:qFormat="1"/>
    <w:lsdException w:name="annotation text" w:uiPriority="99" w:qFormat="1"/>
    <w:lsdException w:name="footer" w:uiPriority="99" w:qFormat="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uiPriority="99" w:qFormat="1"/>
    <w:lsdException w:name="line number" w:semiHidden="1" w:unhideWhenUsed="1"/>
    <w:lsdException w:name="page number" w:qFormat="1"/>
    <w:lsdException w:name="endnote reference" w:qFormat="1"/>
    <w:lsdException w:name="endnote text" w:semiHidden="1" w:unhideWhenUsed="1"/>
    <w:lsdException w:name="table of authorities" w:semiHidden="1" w:unhideWhenUsed="1"/>
    <w:lsdException w:name="macro" w:semiHidden="1" w:unhideWhenUsed="1"/>
    <w:lsdException w:name="toa heading"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locked="1"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uiPriority="99"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locked="1" w:uiPriority="20"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qFormat="1"/>
    <w:lsdException w:name="Medium Shading 1 Accent 5" w:uiPriority="63" w:qFormat="1"/>
    <w:lsdException w:name="Medium Shading 2 Accent 5" w:uiPriority="64"/>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suppressAutoHyphens/>
      <w:spacing w:before="120"/>
    </w:pPr>
    <w:rPr>
      <w:rFonts w:ascii="Calibri" w:eastAsia="Times New Roman" w:hAnsi="Calibri" w:cs="Calibri"/>
      <w:sz w:val="22"/>
      <w:lang w:eastAsia="hi-IN" w:bidi="hi-IN"/>
    </w:rPr>
  </w:style>
  <w:style w:type="paragraph" w:styleId="Titolo1">
    <w:name w:val="heading 1"/>
    <w:basedOn w:val="Normale"/>
    <w:next w:val="Normale"/>
    <w:uiPriority w:val="9"/>
    <w:qFormat/>
    <w:pPr>
      <w:keepNext/>
      <w:keepLines/>
      <w:numPr>
        <w:numId w:val="1"/>
      </w:numPr>
      <w:spacing w:before="480"/>
      <w:jc w:val="center"/>
      <w:outlineLvl w:val="0"/>
    </w:pPr>
    <w:rPr>
      <w:rFonts w:ascii="Cambria" w:hAnsi="Cambria" w:cs="Cambria"/>
      <w:b/>
      <w:smallCaps/>
      <w:sz w:val="36"/>
    </w:rPr>
  </w:style>
  <w:style w:type="paragraph" w:styleId="Titolo2">
    <w:name w:val="heading 2"/>
    <w:basedOn w:val="Normale"/>
    <w:next w:val="Normale"/>
    <w:qFormat/>
    <w:pPr>
      <w:keepNext/>
      <w:keepLines/>
      <w:numPr>
        <w:ilvl w:val="1"/>
        <w:numId w:val="1"/>
      </w:numPr>
      <w:spacing w:before="360" w:after="240"/>
      <w:outlineLvl w:val="1"/>
    </w:pPr>
    <w:rPr>
      <w:rFonts w:ascii="Cambria" w:hAnsi="Cambria" w:cs="Cambria"/>
      <w:b/>
      <w:smallCaps/>
      <w:sz w:val="26"/>
    </w:rPr>
  </w:style>
  <w:style w:type="paragraph" w:styleId="Titolo3">
    <w:name w:val="heading 3"/>
    <w:basedOn w:val="Normale"/>
    <w:next w:val="Normale"/>
    <w:uiPriority w:val="9"/>
    <w:qFormat/>
    <w:pPr>
      <w:keepNext/>
      <w:keepLines/>
      <w:numPr>
        <w:ilvl w:val="2"/>
        <w:numId w:val="1"/>
      </w:numPr>
      <w:spacing w:before="240" w:after="120"/>
      <w:ind w:left="284" w:firstLine="0"/>
      <w:outlineLvl w:val="2"/>
    </w:pPr>
    <w:rPr>
      <w:rFonts w:ascii="Cambria" w:hAnsi="Cambria" w:cs="Cambria"/>
      <w:b/>
    </w:rPr>
  </w:style>
  <w:style w:type="paragraph" w:styleId="Titolo4">
    <w:name w:val="heading 4"/>
    <w:basedOn w:val="Normale"/>
    <w:next w:val="Normale"/>
    <w:uiPriority w:val="9"/>
    <w:qFormat/>
    <w:pPr>
      <w:keepNext/>
      <w:keepLines/>
      <w:numPr>
        <w:ilvl w:val="3"/>
        <w:numId w:val="1"/>
      </w:numPr>
      <w:spacing w:before="200"/>
      <w:outlineLvl w:val="3"/>
    </w:pPr>
    <w:rPr>
      <w:rFonts w:ascii="Cambria" w:hAnsi="Cambria" w:cs="Cambria"/>
      <w:b/>
      <w:i/>
    </w:rPr>
  </w:style>
  <w:style w:type="paragraph" w:styleId="Titolo5">
    <w:name w:val="heading 5"/>
    <w:basedOn w:val="Normale"/>
    <w:next w:val="Normale"/>
    <w:link w:val="Titolo5Carattere"/>
    <w:unhideWhenUsed/>
    <w:qFormat/>
    <w:locked/>
    <w:pPr>
      <w:keepNext/>
      <w:keepLines/>
      <w:suppressAutoHyphens w:val="0"/>
      <w:spacing w:before="200"/>
      <w:outlineLvl w:val="4"/>
    </w:pPr>
    <w:rPr>
      <w:rFonts w:ascii="Cambria" w:hAnsi="Cambria" w:cs="Times New Roman"/>
      <w:color w:val="243F60"/>
      <w:szCs w:val="22"/>
      <w:lang w:eastAsia="en-US" w:bidi="ar-SA"/>
    </w:rPr>
  </w:style>
  <w:style w:type="paragraph" w:styleId="Titolo6">
    <w:name w:val="heading 6"/>
    <w:basedOn w:val="Normale"/>
    <w:next w:val="Normale"/>
    <w:link w:val="Titolo6Carattere"/>
    <w:uiPriority w:val="9"/>
    <w:qFormat/>
    <w:locked/>
    <w:pPr>
      <w:suppressAutoHyphens w:val="0"/>
      <w:spacing w:before="240" w:after="60"/>
      <w:outlineLvl w:val="5"/>
    </w:pPr>
    <w:rPr>
      <w:rFonts w:ascii="Times New Roman" w:hAnsi="Times New Roman" w:cs="Times New Roman"/>
      <w:b/>
      <w:bCs/>
      <w:szCs w:val="22"/>
      <w:lang w:eastAsia="it-IT" w:bidi="ar-SA"/>
    </w:rPr>
  </w:style>
  <w:style w:type="paragraph" w:styleId="Titolo8">
    <w:name w:val="heading 8"/>
    <w:basedOn w:val="Normale"/>
    <w:next w:val="Normale"/>
    <w:link w:val="Titolo8Carattere"/>
    <w:unhideWhenUsed/>
    <w:qFormat/>
    <w:locked/>
    <w:pPr>
      <w:keepNext/>
      <w:keepLines/>
      <w:suppressAutoHyphens w:val="0"/>
      <w:spacing w:before="200"/>
      <w:outlineLvl w:val="7"/>
    </w:pPr>
    <w:rPr>
      <w:rFonts w:asciiTheme="majorHAnsi" w:eastAsiaTheme="majorEastAsia" w:hAnsiTheme="majorHAnsi" w:cstheme="majorBidi"/>
      <w:color w:val="404040" w:themeColor="text1" w:themeTint="BF"/>
      <w:sz w:val="20"/>
      <w:lang w:eastAsia="it-IT" w:bidi="ar-SA"/>
    </w:rPr>
  </w:style>
  <w:style w:type="paragraph" w:styleId="Titolo9">
    <w:name w:val="heading 9"/>
    <w:basedOn w:val="Normale"/>
    <w:next w:val="Normale"/>
    <w:link w:val="Titolo9Carattere"/>
    <w:unhideWhenUsed/>
    <w:qFormat/>
    <w:locked/>
    <w:pPr>
      <w:keepNext/>
      <w:keepLines/>
      <w:suppressAutoHyphens w:val="0"/>
      <w:spacing w:before="200"/>
      <w:outlineLvl w:val="8"/>
    </w:pPr>
    <w:rPr>
      <w:rFonts w:asciiTheme="majorHAnsi" w:eastAsiaTheme="majorEastAsia" w:hAnsiTheme="majorHAnsi" w:cstheme="majorBidi"/>
      <w:i/>
      <w:iCs/>
      <w:color w:val="404040" w:themeColor="text1" w:themeTint="BF"/>
      <w:sz w:val="20"/>
      <w:lang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uiPriority w:val="99"/>
    <w:qFormat/>
    <w:pPr>
      <w:spacing w:before="0"/>
    </w:pPr>
    <w:rPr>
      <w:rFonts w:ascii="Lucida Grande" w:hAnsi="Lucida Grande" w:cs="Lucida Grande"/>
      <w:sz w:val="18"/>
      <w:szCs w:val="18"/>
    </w:rPr>
  </w:style>
  <w:style w:type="paragraph" w:styleId="Corpodeltesto2">
    <w:name w:val="Body Text 2"/>
    <w:basedOn w:val="Normale"/>
    <w:link w:val="Corpodeltesto2Carattere"/>
    <w:uiPriority w:val="99"/>
    <w:qFormat/>
    <w:pPr>
      <w:suppressAutoHyphens w:val="0"/>
      <w:spacing w:before="0" w:after="120" w:line="480" w:lineRule="auto"/>
    </w:pPr>
    <w:rPr>
      <w:rFonts w:ascii="Times New Roman" w:hAnsi="Times New Roman" w:cs="Times New Roman"/>
      <w:sz w:val="20"/>
      <w:lang w:eastAsia="it-IT" w:bidi="ar-SA"/>
    </w:rPr>
  </w:style>
  <w:style w:type="paragraph" w:styleId="Didascalia">
    <w:name w:val="caption"/>
    <w:basedOn w:val="Normale"/>
    <w:next w:val="Normale"/>
    <w:uiPriority w:val="35"/>
    <w:qFormat/>
    <w:locked/>
    <w:pPr>
      <w:suppressAutoHyphens w:val="0"/>
      <w:spacing w:before="0"/>
    </w:pPr>
    <w:rPr>
      <w:rFonts w:ascii="Times New Roman" w:hAnsi="Times New Roman" w:cs="Times New Roman"/>
      <w:b/>
      <w:bCs/>
      <w:sz w:val="20"/>
      <w:lang w:eastAsia="it-IT" w:bidi="ar-SA"/>
    </w:rPr>
  </w:style>
  <w:style w:type="paragraph" w:styleId="Testocommento">
    <w:name w:val="annotation text"/>
    <w:basedOn w:val="Normale"/>
    <w:link w:val="TestocommentoCarattere"/>
    <w:uiPriority w:val="99"/>
    <w:qFormat/>
    <w:rPr>
      <w:rFonts w:cs="Mangal"/>
      <w:sz w:val="20"/>
      <w:szCs w:val="18"/>
    </w:rPr>
  </w:style>
  <w:style w:type="paragraph" w:styleId="Soggettocommento">
    <w:name w:val="annotation subject"/>
    <w:basedOn w:val="Testocommento"/>
    <w:next w:val="Testocommento"/>
    <w:link w:val="SoggettocommentoCarattere"/>
    <w:uiPriority w:val="99"/>
    <w:qFormat/>
    <w:rPr>
      <w:b/>
      <w:bCs/>
    </w:rPr>
  </w:style>
  <w:style w:type="paragraph" w:styleId="Mappadocumento">
    <w:name w:val="Document Map"/>
    <w:basedOn w:val="Normale"/>
    <w:link w:val="MappadocumentoCarattere"/>
    <w:qFormat/>
    <w:pPr>
      <w:suppressAutoHyphens w:val="0"/>
      <w:spacing w:before="0"/>
    </w:pPr>
    <w:rPr>
      <w:rFonts w:ascii="Lucida Grande" w:eastAsia="ヒラギノ角ゴ Pro W3" w:hAnsi="Lucida Grande" w:cs="Lucida Grande"/>
      <w:color w:val="000000"/>
      <w:sz w:val="24"/>
      <w:szCs w:val="24"/>
      <w:lang w:eastAsia="en-US" w:bidi="ar-SA"/>
    </w:rPr>
  </w:style>
  <w:style w:type="paragraph" w:styleId="Pidipagina">
    <w:name w:val="footer"/>
    <w:basedOn w:val="Normale"/>
    <w:uiPriority w:val="99"/>
    <w:qFormat/>
    <w:pPr>
      <w:suppressLineNumbers/>
      <w:tabs>
        <w:tab w:val="center" w:pos="4513"/>
        <w:tab w:val="right" w:pos="9026"/>
      </w:tabs>
      <w:spacing w:before="0"/>
    </w:pPr>
  </w:style>
  <w:style w:type="paragraph" w:styleId="Testonotaapidipagina">
    <w:name w:val="footnote text"/>
    <w:basedOn w:val="Normale"/>
    <w:link w:val="TestonotaapidipaginaCarattere"/>
    <w:uiPriority w:val="99"/>
    <w:qFormat/>
    <w:pPr>
      <w:spacing w:before="0"/>
    </w:pPr>
    <w:rPr>
      <w:rFonts w:cs="Mangal"/>
      <w:sz w:val="20"/>
      <w:szCs w:val="18"/>
    </w:rPr>
  </w:style>
  <w:style w:type="paragraph" w:styleId="Intestazione">
    <w:name w:val="header"/>
    <w:basedOn w:val="Normale"/>
    <w:link w:val="IntestazioneCarattere1"/>
    <w:pPr>
      <w:suppressLineNumbers/>
      <w:tabs>
        <w:tab w:val="center" w:pos="4513"/>
        <w:tab w:val="right" w:pos="9026"/>
      </w:tabs>
      <w:spacing w:before="0"/>
    </w:pPr>
  </w:style>
  <w:style w:type="paragraph" w:styleId="Indice1">
    <w:name w:val="index 1"/>
    <w:basedOn w:val="Normale"/>
    <w:next w:val="Normale"/>
    <w:uiPriority w:val="39"/>
    <w:locked/>
    <w:pPr>
      <w:suppressAutoHyphens w:val="0"/>
      <w:spacing w:before="360"/>
    </w:pPr>
    <w:rPr>
      <w:rFonts w:asciiTheme="majorHAnsi" w:hAnsiTheme="majorHAnsi" w:cs="Times New Roman"/>
      <w:bCs/>
      <w:sz w:val="24"/>
      <w:szCs w:val="24"/>
      <w:lang w:eastAsia="it-IT" w:bidi="ar-SA"/>
    </w:rPr>
  </w:style>
  <w:style w:type="paragraph" w:styleId="Indice2">
    <w:name w:val="index 2"/>
    <w:basedOn w:val="Normale"/>
    <w:next w:val="Normale"/>
    <w:uiPriority w:val="39"/>
    <w:locked/>
    <w:pPr>
      <w:suppressAutoHyphens w:val="0"/>
      <w:spacing w:before="240"/>
    </w:pPr>
    <w:rPr>
      <w:rFonts w:asciiTheme="minorHAnsi" w:hAnsiTheme="minorHAnsi" w:cstheme="minorHAnsi"/>
      <w:b/>
      <w:bCs/>
      <w:sz w:val="20"/>
      <w:lang w:eastAsia="it-IT" w:bidi="ar-SA"/>
    </w:rPr>
  </w:style>
  <w:style w:type="paragraph" w:styleId="Indice3">
    <w:name w:val="index 3"/>
    <w:basedOn w:val="Normale"/>
    <w:next w:val="Normale"/>
    <w:uiPriority w:val="39"/>
    <w:locked/>
    <w:pPr>
      <w:suppressAutoHyphens w:val="0"/>
      <w:spacing w:before="0"/>
      <w:ind w:left="200"/>
    </w:pPr>
    <w:rPr>
      <w:rFonts w:asciiTheme="minorHAnsi" w:hAnsiTheme="minorHAnsi" w:cstheme="minorHAnsi"/>
      <w:sz w:val="20"/>
      <w:lang w:eastAsia="it-IT" w:bidi="ar-SA"/>
    </w:rPr>
  </w:style>
  <w:style w:type="paragraph" w:styleId="Indice4">
    <w:name w:val="index 4"/>
    <w:basedOn w:val="Normale"/>
    <w:next w:val="Normale"/>
    <w:uiPriority w:val="39"/>
    <w:unhideWhenUsed/>
    <w:locked/>
    <w:pPr>
      <w:suppressAutoHyphens w:val="0"/>
      <w:spacing w:before="0"/>
      <w:ind w:left="400"/>
    </w:pPr>
    <w:rPr>
      <w:rFonts w:asciiTheme="minorHAnsi" w:hAnsiTheme="minorHAnsi" w:cstheme="minorHAnsi"/>
      <w:sz w:val="20"/>
      <w:lang w:eastAsia="it-IT" w:bidi="ar-SA"/>
    </w:rPr>
  </w:style>
  <w:style w:type="paragraph" w:styleId="Indice5">
    <w:name w:val="index 5"/>
    <w:basedOn w:val="Normale"/>
    <w:next w:val="Normale"/>
    <w:uiPriority w:val="39"/>
    <w:unhideWhenUsed/>
    <w:locked/>
    <w:pPr>
      <w:suppressAutoHyphens w:val="0"/>
      <w:spacing w:before="0"/>
      <w:ind w:left="600"/>
    </w:pPr>
    <w:rPr>
      <w:rFonts w:asciiTheme="minorHAnsi" w:hAnsiTheme="minorHAnsi" w:cstheme="minorHAnsi"/>
      <w:sz w:val="20"/>
      <w:lang w:eastAsia="it-IT" w:bidi="ar-SA"/>
    </w:rPr>
  </w:style>
  <w:style w:type="paragraph" w:styleId="Indice6">
    <w:name w:val="index 6"/>
    <w:basedOn w:val="Normale"/>
    <w:next w:val="Normale"/>
    <w:uiPriority w:val="39"/>
    <w:unhideWhenUsed/>
    <w:locked/>
    <w:pPr>
      <w:suppressAutoHyphens w:val="0"/>
      <w:spacing w:before="0"/>
      <w:ind w:left="800"/>
    </w:pPr>
    <w:rPr>
      <w:rFonts w:asciiTheme="minorHAnsi" w:hAnsiTheme="minorHAnsi" w:cstheme="minorHAnsi"/>
      <w:sz w:val="20"/>
      <w:lang w:eastAsia="it-IT" w:bidi="ar-SA"/>
    </w:rPr>
  </w:style>
  <w:style w:type="paragraph" w:styleId="Indice7">
    <w:name w:val="index 7"/>
    <w:basedOn w:val="Normale"/>
    <w:next w:val="Normale"/>
    <w:uiPriority w:val="39"/>
    <w:unhideWhenUsed/>
    <w:locked/>
    <w:pPr>
      <w:suppressAutoHyphens w:val="0"/>
      <w:spacing w:before="0"/>
      <w:ind w:left="1000"/>
    </w:pPr>
    <w:rPr>
      <w:rFonts w:asciiTheme="minorHAnsi" w:hAnsiTheme="minorHAnsi" w:cstheme="minorHAnsi"/>
      <w:sz w:val="20"/>
      <w:lang w:eastAsia="it-IT" w:bidi="ar-SA"/>
    </w:rPr>
  </w:style>
  <w:style w:type="paragraph" w:styleId="Indice8">
    <w:name w:val="index 8"/>
    <w:basedOn w:val="Normale"/>
    <w:next w:val="Normale"/>
    <w:uiPriority w:val="39"/>
    <w:unhideWhenUsed/>
    <w:locked/>
    <w:pPr>
      <w:suppressAutoHyphens w:val="0"/>
      <w:spacing w:before="0"/>
      <w:ind w:left="1200"/>
    </w:pPr>
    <w:rPr>
      <w:rFonts w:asciiTheme="minorHAnsi" w:hAnsiTheme="minorHAnsi" w:cstheme="minorHAnsi"/>
      <w:sz w:val="20"/>
      <w:lang w:eastAsia="it-IT" w:bidi="ar-SA"/>
    </w:rPr>
  </w:style>
  <w:style w:type="paragraph" w:styleId="Indice9">
    <w:name w:val="index 9"/>
    <w:basedOn w:val="Normale"/>
    <w:next w:val="Normale"/>
    <w:uiPriority w:val="39"/>
    <w:unhideWhenUsed/>
    <w:locked/>
    <w:pPr>
      <w:suppressAutoHyphens w:val="0"/>
      <w:spacing w:before="0"/>
      <w:ind w:left="1400"/>
    </w:pPr>
    <w:rPr>
      <w:rFonts w:asciiTheme="minorHAnsi" w:hAnsiTheme="minorHAnsi" w:cstheme="minorHAnsi"/>
      <w:sz w:val="20"/>
      <w:lang w:eastAsia="it-IT" w:bidi="ar-SA"/>
    </w:rPr>
  </w:style>
  <w:style w:type="paragraph" w:styleId="Elenco">
    <w:name w:val="List"/>
    <w:basedOn w:val="Corpodeltesto"/>
  </w:style>
  <w:style w:type="paragraph" w:customStyle="1" w:styleId="Corpodeltesto">
    <w:name w:val="Corpo del testo"/>
    <w:basedOn w:val="Normale"/>
    <w:link w:val="CorpotestoCarattere"/>
    <w:uiPriority w:val="99"/>
    <w:pPr>
      <w:spacing w:before="0" w:after="120"/>
    </w:pPr>
  </w:style>
  <w:style w:type="paragraph" w:styleId="NormaleWeb">
    <w:name w:val="Normal (Web)"/>
    <w:basedOn w:val="Normale"/>
    <w:link w:val="NormaleWebCarattere"/>
    <w:uiPriority w:val="99"/>
    <w:qFormat/>
    <w:pPr>
      <w:suppressAutoHyphens w:val="0"/>
      <w:spacing w:beforeAutospacing="1" w:afterAutospacing="1"/>
    </w:pPr>
    <w:rPr>
      <w:rFonts w:ascii="Times New Roman" w:hAnsi="Times New Roman" w:cs="Times New Roman"/>
      <w:sz w:val="24"/>
      <w:szCs w:val="24"/>
      <w:lang w:eastAsia="it-IT" w:bidi="ar-SA"/>
    </w:rPr>
  </w:style>
  <w:style w:type="paragraph" w:styleId="Testonormale">
    <w:name w:val="Plain Text"/>
    <w:basedOn w:val="Normale"/>
    <w:link w:val="TestonormaleCarattere"/>
    <w:uiPriority w:val="99"/>
    <w:qFormat/>
    <w:pPr>
      <w:suppressAutoHyphens w:val="0"/>
      <w:spacing w:before="0"/>
    </w:pPr>
    <w:rPr>
      <w:rFonts w:ascii="Courier New" w:hAnsi="Courier New" w:cs="Times New Roman"/>
      <w:sz w:val="20"/>
      <w:lang w:val="zh-CN" w:eastAsia="zh-CN" w:bidi="ar-SA"/>
    </w:rPr>
  </w:style>
  <w:style w:type="paragraph" w:styleId="Sottotitolo">
    <w:name w:val="Subtitle"/>
    <w:basedOn w:val="Intestazione1"/>
    <w:link w:val="SottotitoloCarattere"/>
    <w:uiPriority w:val="11"/>
    <w:qFormat/>
    <w:pPr>
      <w:jc w:val="center"/>
    </w:pPr>
    <w:rPr>
      <w:i/>
    </w:rPr>
  </w:style>
  <w:style w:type="paragraph" w:customStyle="1" w:styleId="Intestazione1">
    <w:name w:val="Intestazione1"/>
    <w:basedOn w:val="Normale"/>
    <w:qFormat/>
    <w:pPr>
      <w:keepNext/>
      <w:spacing w:before="240" w:after="120"/>
    </w:pPr>
    <w:rPr>
      <w:rFonts w:ascii="Arial" w:hAnsi="Arial" w:cs="Arial"/>
      <w:sz w:val="28"/>
    </w:rPr>
  </w:style>
  <w:style w:type="paragraph" w:styleId="Titolo">
    <w:name w:val="Title"/>
    <w:basedOn w:val="Normale"/>
    <w:next w:val="Corpodeltesto"/>
    <w:qFormat/>
    <w:pPr>
      <w:keepNext/>
      <w:spacing w:before="240" w:after="120"/>
    </w:pPr>
    <w:rPr>
      <w:rFonts w:ascii="Liberation Sans" w:eastAsia="Microsoft YaHei" w:hAnsi="Liberation Sans" w:cs="Mangal"/>
      <w:sz w:val="28"/>
      <w:szCs w:val="28"/>
    </w:rPr>
  </w:style>
  <w:style w:type="paragraph" w:styleId="Titoloindicefonti">
    <w:name w:val="toa heading"/>
    <w:basedOn w:val="Normale"/>
    <w:next w:val="Normale"/>
    <w:qFormat/>
    <w:pPr>
      <w:keepNext/>
      <w:suppressLineNumbers/>
      <w:spacing w:before="240" w:after="120"/>
      <w:jc w:val="center"/>
    </w:pPr>
    <w:rPr>
      <w:rFonts w:ascii="Liberation Sans" w:eastAsia="Microsoft YaHei" w:hAnsi="Liberation Sans" w:cs="Mangal"/>
      <w:b/>
      <w:bCs/>
      <w:sz w:val="32"/>
      <w:szCs w:val="32"/>
      <w:lang w:eastAsia="zh-CN" w:bidi="ar-SA"/>
    </w:rPr>
  </w:style>
  <w:style w:type="paragraph" w:styleId="Sommario1">
    <w:name w:val="toc 1"/>
    <w:basedOn w:val="Normale"/>
    <w:next w:val="Normale"/>
    <w:uiPriority w:val="39"/>
    <w:unhideWhenUsed/>
    <w:locked/>
    <w:pPr>
      <w:tabs>
        <w:tab w:val="right" w:leader="dot" w:pos="10196"/>
      </w:tabs>
      <w:spacing w:after="100"/>
      <w:ind w:left="708"/>
    </w:pPr>
    <w:rPr>
      <w:rFonts w:cs="Mangal"/>
    </w:rPr>
  </w:style>
  <w:style w:type="paragraph" w:styleId="Sommario2">
    <w:name w:val="toc 2"/>
    <w:basedOn w:val="Normale"/>
    <w:next w:val="Normale"/>
    <w:uiPriority w:val="39"/>
    <w:unhideWhenUsed/>
    <w:locked/>
    <w:pPr>
      <w:tabs>
        <w:tab w:val="right" w:leader="dot" w:pos="10196"/>
      </w:tabs>
      <w:spacing w:after="100"/>
    </w:pPr>
    <w:rPr>
      <w:rFonts w:cs="Mangal"/>
    </w:rPr>
  </w:style>
  <w:style w:type="character" w:styleId="Rimandocommento">
    <w:name w:val="annotation reference"/>
    <w:uiPriority w:val="99"/>
    <w:qFormat/>
    <w:rPr>
      <w:rFonts w:cs="Times New Roman"/>
      <w:sz w:val="16"/>
      <w:szCs w:val="16"/>
    </w:rPr>
  </w:style>
  <w:style w:type="character" w:styleId="Rimandonotadichiusura">
    <w:name w:val="endnote reference"/>
    <w:basedOn w:val="Carpredefinitoparagrafo"/>
    <w:qFormat/>
    <w:rPr>
      <w:vertAlign w:val="superscript"/>
    </w:rPr>
  </w:style>
  <w:style w:type="character" w:styleId="Collegamentovisitato">
    <w:name w:val="FollowedHyperlink"/>
    <w:basedOn w:val="Carpredefinitoparagrafo"/>
    <w:qFormat/>
    <w:rPr>
      <w:color w:val="954F72" w:themeColor="followedHyperlink"/>
      <w:u w:val="single"/>
    </w:rPr>
  </w:style>
  <w:style w:type="character" w:styleId="Rimandonotaapidipagina">
    <w:name w:val="footnote reference"/>
    <w:uiPriority w:val="99"/>
    <w:qFormat/>
    <w:rPr>
      <w:rFonts w:cs="Times New Roman"/>
      <w:vertAlign w:val="superscript"/>
    </w:rPr>
  </w:style>
  <w:style w:type="character" w:styleId="Collegamentoipertestuale">
    <w:name w:val="Hyperlink"/>
    <w:basedOn w:val="Carpredefinitoparagrafo"/>
    <w:uiPriority w:val="99"/>
    <w:unhideWhenUsed/>
    <w:qFormat/>
    <w:rPr>
      <w:color w:val="0563C1" w:themeColor="hyperlink"/>
      <w:u w:val="single"/>
    </w:rPr>
  </w:style>
  <w:style w:type="character" w:styleId="Numeropagina">
    <w:name w:val="page number"/>
    <w:basedOn w:val="Carpredefinitoparagrafo"/>
    <w:qFormat/>
  </w:style>
  <w:style w:type="character" w:styleId="Enfasigrassetto">
    <w:name w:val="Strong"/>
    <w:uiPriority w:val="22"/>
    <w:qFormat/>
    <w:rPr>
      <w:b/>
    </w:rPr>
  </w:style>
  <w:style w:type="table" w:styleId="Grigliatabella">
    <w:name w:val="Table Grid"/>
    <w:basedOn w:val="Tabellanormal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Elencochiaro-Colore5">
    <w:name w:val="Light List Accent 5"/>
    <w:basedOn w:val="Tabellanormale"/>
    <w:uiPriority w:val="61"/>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Grigliachiara-Colore5">
    <w:name w:val="Light Grid Accent 5"/>
    <w:basedOn w:val="Tabellanormale"/>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Sfondomedio1-Colore3">
    <w:name w:val="Medium Shading 1 Accent 3"/>
    <w:basedOn w:val="Tabellanormale"/>
    <w:uiPriority w:val="63"/>
    <w:qFormat/>
    <w:rPr>
      <w:rFonts w:asciiTheme="minorHAnsi" w:eastAsiaTheme="minorHAnsi" w:hAnsiTheme="minorHAnsi" w:cstheme="minorBidi"/>
      <w:sz w:val="22"/>
      <w:szCs w:val="22"/>
      <w:lang w:eastAsia="en-US"/>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Elencomedio1-Colore5">
    <w:name w:val="Medium List 1 Accent 5"/>
    <w:basedOn w:val="Tabellanormale"/>
    <w:uiPriority w:val="65"/>
    <w:qFormat/>
    <w:rPr>
      <w:color w:val="000000" w:themeColor="text1"/>
    </w:rPr>
    <w:tblPr>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Elencomedio2-Colore5">
    <w:name w:val="Medium List 2 Accent 5"/>
    <w:basedOn w:val="Tabellanormale"/>
    <w:uiPriority w:val="66"/>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alibri" w:hAnsi="Calibri"/>
      <w:sz w:val="22"/>
    </w:rPr>
  </w:style>
  <w:style w:type="character" w:customStyle="1" w:styleId="WW8Num2z1">
    <w:name w:val="WW8Num2z1"/>
    <w:qFormat/>
    <w:rPr>
      <w:rFonts w:ascii="Courier New" w:hAnsi="Courier New"/>
      <w:color w:val="000000"/>
      <w:sz w:val="22"/>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olor w:val="000000"/>
      <w:sz w:val="22"/>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color w:val="000000"/>
      <w:sz w:val="22"/>
    </w:rPr>
  </w:style>
  <w:style w:type="character" w:customStyle="1" w:styleId="WW8Num4z1">
    <w:name w:val="WW8Num4z1"/>
    <w:qFormat/>
    <w:rPr>
      <w:color w:val="000000"/>
      <w:sz w:val="22"/>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sz w:val="22"/>
    </w:rPr>
  </w:style>
  <w:style w:type="character" w:customStyle="1" w:styleId="WW8Num5z1">
    <w:name w:val="WW8Num5z1"/>
    <w:qFormat/>
    <w:rPr>
      <w:rFonts w:ascii="MS Gothic" w:eastAsia="MS Gothic" w:hAnsi="MS Gothic"/>
      <w:sz w:val="22"/>
    </w:rPr>
  </w:style>
  <w:style w:type="character" w:customStyle="1" w:styleId="WW8Num5z2">
    <w:name w:val="WW8Num5z2"/>
    <w:qFormat/>
  </w:style>
  <w:style w:type="character" w:customStyle="1" w:styleId="WW8Num6z0">
    <w:name w:val="WW8Num6z0"/>
    <w:qFormat/>
    <w:rPr>
      <w:rFonts w:ascii="Wingdings" w:hAnsi="Wingdings"/>
      <w:b/>
      <w:color w:val="000000"/>
      <w:sz w:val="22"/>
    </w:rPr>
  </w:style>
  <w:style w:type="character" w:customStyle="1" w:styleId="WW8Num7z0">
    <w:name w:val="WW8Num7z0"/>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10z0">
    <w:name w:val="WW8Num10z0"/>
    <w:qFormat/>
    <w:rPr>
      <w:rFonts w:ascii="Wingdings" w:hAnsi="Wingdings"/>
      <w:sz w:val="22"/>
    </w:rPr>
  </w:style>
  <w:style w:type="character" w:customStyle="1" w:styleId="WW8Num11z0">
    <w:name w:val="WW8Num11z0"/>
    <w:qFormat/>
    <w:rPr>
      <w:rFonts w:ascii="Symbol" w:hAnsi="Symbol"/>
      <w:b/>
      <w:sz w:val="22"/>
    </w:rPr>
  </w:style>
  <w:style w:type="character" w:customStyle="1" w:styleId="WW8Num12z0">
    <w:name w:val="WW8Num12z0"/>
    <w:qFormat/>
    <w:rPr>
      <w:rFonts w:ascii="Symbol" w:hAnsi="Symbol"/>
      <w:sz w:val="22"/>
    </w:rPr>
  </w:style>
  <w:style w:type="character" w:customStyle="1" w:styleId="WW8Num13z0">
    <w:name w:val="WW8Num13z0"/>
    <w:qFormat/>
    <w:rPr>
      <w:rFonts w:ascii="Symbol" w:hAnsi="Symbol"/>
    </w:rPr>
  </w:style>
  <w:style w:type="character" w:customStyle="1" w:styleId="WW8Num14z0">
    <w:name w:val="WW8Num14z0"/>
    <w:qFormat/>
    <w:rPr>
      <w:rFonts w:ascii="Symbol" w:hAnsi="Symbol"/>
      <w:b/>
      <w:sz w:val="24"/>
      <w:lang w:val="it-IT" w:eastAsia="he-IL" w:bidi="he-IL"/>
    </w:rPr>
  </w:style>
  <w:style w:type="character" w:customStyle="1" w:styleId="WW8Num15z0">
    <w:name w:val="WW8Num15z0"/>
    <w:qFormat/>
    <w:rPr>
      <w:rFonts w:ascii="Symbol" w:eastAsia="MS Gothic" w:hAnsi="Symbol"/>
      <w:sz w:val="22"/>
    </w:rPr>
  </w:style>
  <w:style w:type="character" w:customStyle="1" w:styleId="WW8Num16z0">
    <w:name w:val="WW8Num16z0"/>
    <w:qFormat/>
    <w:rPr>
      <w:rFonts w:ascii="Wingdings" w:hAnsi="Wingdings"/>
      <w:b/>
      <w:sz w:val="22"/>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Wingdings" w:hAnsi="Wingdings"/>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rPr>
      <w:color w:val="000000"/>
      <w:sz w:val="22"/>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1z1">
    <w:name w:val="WW8Num11z1"/>
    <w:qFormat/>
    <w:rPr>
      <w:rFonts w:ascii="MS Gothic" w:eastAsia="MS Gothic" w:hAnsi="MS Gothic"/>
      <w:sz w:val="22"/>
    </w:rPr>
  </w:style>
  <w:style w:type="character" w:customStyle="1" w:styleId="WW8Num11z2">
    <w:name w:val="WW8Num11z2"/>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0">
    <w:name w:val="WW8Num18z0"/>
    <w:qFormat/>
  </w:style>
  <w:style w:type="character" w:customStyle="1" w:styleId="WW8Num19z0">
    <w:name w:val="WW8Num19z0"/>
    <w:qFormat/>
    <w:rPr>
      <w:b/>
    </w:rPr>
  </w:style>
  <w:style w:type="character" w:customStyle="1" w:styleId="WW8Num20z0">
    <w:name w:val="WW8Num20z0"/>
    <w:qFormat/>
    <w:rPr>
      <w:b/>
    </w:rPr>
  </w:style>
  <w:style w:type="character" w:customStyle="1" w:styleId="WW8Num21z0">
    <w:name w:val="WW8Num21z0"/>
    <w:qFormat/>
    <w:rPr>
      <w:b/>
    </w:rPr>
  </w:style>
  <w:style w:type="character" w:customStyle="1" w:styleId="WW8Num22z0">
    <w:name w:val="WW8Num22z0"/>
    <w:qFormat/>
    <w:rPr>
      <w:rFonts w:ascii="Helvetica" w:hAnsi="Helvetica"/>
      <w:b/>
      <w:sz w:val="22"/>
      <w:lang w:val="it-IT" w:eastAsia="he-IL" w:bidi="he-IL"/>
    </w:rPr>
  </w:style>
  <w:style w:type="character" w:customStyle="1" w:styleId="WW8Num23z0">
    <w:name w:val="WW8Num23z0"/>
    <w:qFormat/>
    <w:rPr>
      <w:rFonts w:ascii="Courier New" w:eastAsia="MS Gothic" w:hAnsi="Courier New"/>
      <w:b/>
      <w:sz w:val="24"/>
      <w:lang w:val="it-IT" w:eastAsia="he-IL" w:bidi="he-IL"/>
    </w:rPr>
  </w:style>
  <w:style w:type="character" w:customStyle="1" w:styleId="WW8Num24z0">
    <w:name w:val="WW8Num24z0"/>
    <w:qFormat/>
    <w:rPr>
      <w:rFonts w:ascii="Symbol" w:eastAsia="MS Gothic" w:hAnsi="Symbol"/>
      <w:b/>
      <w:sz w:val="22"/>
    </w:rPr>
  </w:style>
  <w:style w:type="character" w:customStyle="1" w:styleId="WW8Num24z1">
    <w:name w:val="WW8Num24z1"/>
    <w:qFormat/>
    <w:rPr>
      <w:rFonts w:ascii="Courier New" w:eastAsia="MS Gothic" w:hAnsi="Courier New"/>
      <w:sz w:val="22"/>
    </w:rPr>
  </w:style>
  <w:style w:type="character" w:customStyle="1" w:styleId="WW8Num24z2">
    <w:name w:val="WW8Num24z2"/>
    <w:qFormat/>
    <w:rPr>
      <w:rFonts w:ascii="Wingdings" w:hAnsi="Wingdings"/>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Wingdings" w:eastAsia="MS Gothic" w:hAnsi="Wingdings"/>
      <w:sz w:val="22"/>
    </w:rPr>
  </w:style>
  <w:style w:type="character" w:customStyle="1" w:styleId="WW8Num25z1">
    <w:name w:val="WW8Num25z1"/>
    <w:qFormat/>
    <w:rPr>
      <w:rFonts w:ascii="Courier New" w:hAnsi="Courier New"/>
    </w:rPr>
  </w:style>
  <w:style w:type="character" w:customStyle="1" w:styleId="WW8Num25z2">
    <w:name w:val="WW8Num25z2"/>
    <w:qFormat/>
  </w:style>
  <w:style w:type="character" w:customStyle="1" w:styleId="WW8Num25z3">
    <w:name w:val="WW8Num25z3"/>
    <w:qFormat/>
    <w:rPr>
      <w:rFonts w:ascii="Symbol" w:hAnsi="Symbol"/>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2z1">
    <w:name w:val="WW8Num12z1"/>
    <w:qFormat/>
    <w:rPr>
      <w:rFonts w:ascii="MS Gothic" w:eastAsia="MS Gothic" w:hAnsi="MS Gothic"/>
      <w:sz w:val="22"/>
    </w:rPr>
  </w:style>
  <w:style w:type="character" w:customStyle="1" w:styleId="WW8Num12z2">
    <w:name w:val="WW8Num12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8z1">
    <w:name w:val="WW8Num18z1"/>
    <w:qFormat/>
  </w:style>
  <w:style w:type="character" w:customStyle="1" w:styleId="WW8Num18z2">
    <w:name w:val="WW8Num18z2"/>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6z0">
    <w:name w:val="WW8Num26z0"/>
    <w:qFormat/>
    <w:rPr>
      <w:sz w:val="22"/>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rPr>
  </w:style>
  <w:style w:type="character" w:customStyle="1" w:styleId="WW8Num27z1">
    <w:name w:val="WW8Num27z1"/>
    <w:qFormat/>
    <w:rPr>
      <w:rFonts w:ascii="Courier New" w:hAnsi="Courier New"/>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Symbol" w:hAnsi="Symbol"/>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rFonts w:ascii="Symbol" w:hAnsi="Symbol"/>
    </w:rPr>
  </w:style>
  <w:style w:type="character" w:customStyle="1" w:styleId="WW8Num29z1">
    <w:name w:val="WW8Num29z1"/>
    <w:qFormat/>
    <w:rPr>
      <w:rFonts w:ascii="Courier New" w:hAnsi="Courier New"/>
    </w:rPr>
  </w:style>
  <w:style w:type="character" w:customStyle="1" w:styleId="WW8Num29z2">
    <w:name w:val="WW8Num29z2"/>
    <w:qFormat/>
    <w:rPr>
      <w:rFonts w:ascii="Wingdings" w:hAnsi="Wingdings"/>
    </w:rPr>
  </w:style>
  <w:style w:type="character" w:customStyle="1" w:styleId="WW8Num30z0">
    <w:name w:val="WW8Num30z0"/>
    <w:qFormat/>
    <w:rPr>
      <w:rFonts w:ascii="Symbol" w:hAnsi="Symbol"/>
    </w:rPr>
  </w:style>
  <w:style w:type="character" w:customStyle="1" w:styleId="WW8Num30z1">
    <w:name w:val="WW8Num30z1"/>
    <w:qFormat/>
    <w:rPr>
      <w:rFonts w:ascii="Courier New" w:hAnsi="Courier New"/>
    </w:rPr>
  </w:style>
  <w:style w:type="character" w:customStyle="1" w:styleId="WW8Num30z2">
    <w:name w:val="WW8Num30z2"/>
    <w:qFormat/>
    <w:rPr>
      <w:rFonts w:ascii="Wingdings" w:hAnsi="Wingdings"/>
    </w:rPr>
  </w:style>
  <w:style w:type="character" w:customStyle="1" w:styleId="WW8Num31z0">
    <w:name w:val="WW8Num31z0"/>
    <w:qFormat/>
    <w:rPr>
      <w:sz w:val="22"/>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sz w:val="22"/>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Symbol" w:hAnsi="Symbol"/>
    </w:rPr>
  </w:style>
  <w:style w:type="character" w:customStyle="1" w:styleId="WW8Num34z1">
    <w:name w:val="WW8Num34z1"/>
    <w:qFormat/>
    <w:rPr>
      <w:rFonts w:ascii="Symbol" w:hAnsi="Symbol"/>
    </w:rPr>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Courier New" w:hAnsi="Courier New"/>
    </w:rPr>
  </w:style>
  <w:style w:type="character" w:customStyle="1" w:styleId="WW8Num36z2">
    <w:name w:val="WW8Num36z2"/>
    <w:qFormat/>
    <w:rPr>
      <w:rFonts w:ascii="Wingdings" w:hAnsi="Wingdings"/>
    </w:rPr>
  </w:style>
  <w:style w:type="character" w:customStyle="1" w:styleId="WW8Num36z3">
    <w:name w:val="WW8Num36z3"/>
    <w:qFormat/>
    <w:rPr>
      <w:rFonts w:ascii="Symbol" w:hAnsi="Symbol"/>
    </w:rPr>
  </w:style>
  <w:style w:type="character" w:customStyle="1" w:styleId="WW8Num37z0">
    <w:name w:val="WW8Num37z0"/>
    <w:qFormat/>
    <w:rPr>
      <w:rFonts w:ascii="Symbol" w:hAnsi="Symbol"/>
    </w:rPr>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rPr>
  </w:style>
  <w:style w:type="character" w:customStyle="1" w:styleId="WW8Num38z1">
    <w:name w:val="WW8Num38z1"/>
    <w:qFormat/>
    <w:rPr>
      <w:rFonts w:ascii="Courier New" w:hAnsi="Courier New"/>
    </w:rPr>
  </w:style>
  <w:style w:type="character" w:customStyle="1" w:styleId="WW8Num38z2">
    <w:name w:val="WW8Num38z2"/>
    <w:qFormat/>
    <w:rPr>
      <w:rFonts w:ascii="Wingdings" w:hAnsi="Wingdings"/>
    </w:rPr>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rFonts w:ascii="Symbol" w:hAnsi="Symbol"/>
    </w:rPr>
  </w:style>
  <w:style w:type="character" w:customStyle="1" w:styleId="WW8Num41z1">
    <w:name w:val="WW8Num41z1"/>
    <w:qFormat/>
    <w:rPr>
      <w:rFonts w:ascii="Courier New" w:hAnsi="Courier New"/>
    </w:rPr>
  </w:style>
  <w:style w:type="character" w:customStyle="1" w:styleId="WW8Num41z2">
    <w:name w:val="WW8Num41z2"/>
    <w:qFormat/>
    <w:rPr>
      <w:rFonts w:ascii="Wingdings" w:hAnsi="Wingdings"/>
    </w:rPr>
  </w:style>
  <w:style w:type="character" w:customStyle="1" w:styleId="WW8Num42z0">
    <w:name w:val="WW8Num42z0"/>
    <w:qFormat/>
    <w:rPr>
      <w:rFonts w:ascii="Symbol" w:hAnsi="Symbol"/>
    </w:rPr>
  </w:style>
  <w:style w:type="character" w:customStyle="1" w:styleId="WW8Num42z1">
    <w:name w:val="WW8Num42z1"/>
    <w:qFormat/>
    <w:rPr>
      <w:rFonts w:ascii="Courier New" w:hAnsi="Courier New"/>
    </w:rPr>
  </w:style>
  <w:style w:type="character" w:customStyle="1" w:styleId="WW8Num42z2">
    <w:name w:val="WW8Num42z2"/>
    <w:qFormat/>
    <w:rPr>
      <w:rFonts w:ascii="Wingdings" w:hAnsi="Wingdings"/>
    </w:rPr>
  </w:style>
  <w:style w:type="character" w:customStyle="1" w:styleId="WW8Num43z0">
    <w:name w:val="WW8Num43z0"/>
    <w:qFormat/>
    <w:rPr>
      <w:rFonts w:ascii="Symbol" w:hAnsi="Symbol"/>
    </w:rPr>
  </w:style>
  <w:style w:type="character" w:customStyle="1" w:styleId="WW8Num43z1">
    <w:name w:val="WW8Num43z1"/>
    <w:qFormat/>
    <w:rPr>
      <w:rFonts w:ascii="Courier New" w:hAnsi="Courier New"/>
    </w:rPr>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sz w:val="22"/>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sz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Symbol" w:hAnsi="Symbol"/>
    </w:rPr>
  </w:style>
  <w:style w:type="character" w:customStyle="1" w:styleId="WW8Num46z1">
    <w:name w:val="WW8Num46z1"/>
    <w:qFormat/>
    <w:rPr>
      <w:rFonts w:ascii="Courier New" w:hAnsi="Courier New"/>
    </w:rPr>
  </w:style>
  <w:style w:type="character" w:customStyle="1" w:styleId="WW8Num46z2">
    <w:name w:val="WW8Num46z2"/>
    <w:qFormat/>
    <w:rPr>
      <w:rFonts w:ascii="Wingdings" w:hAnsi="Wingdings"/>
    </w:rPr>
  </w:style>
  <w:style w:type="character" w:customStyle="1" w:styleId="WW8Num47z0">
    <w:name w:val="WW8Num47z0"/>
    <w:qFormat/>
    <w:rPr>
      <w:rFonts w:ascii="Wingdings" w:hAnsi="Wingdings"/>
    </w:rPr>
  </w:style>
  <w:style w:type="character" w:customStyle="1" w:styleId="WW8Num47z1">
    <w:name w:val="WW8Num47z1"/>
    <w:qFormat/>
    <w:rPr>
      <w:rFonts w:ascii="Courier New" w:hAnsi="Courier New"/>
    </w:rPr>
  </w:style>
  <w:style w:type="character" w:customStyle="1" w:styleId="WW8Num47z3">
    <w:name w:val="WW8Num47z3"/>
    <w:qFormat/>
    <w:rPr>
      <w:rFonts w:ascii="Symbol" w:hAnsi="Symbol"/>
    </w:rPr>
  </w:style>
  <w:style w:type="character" w:customStyle="1" w:styleId="WW8Num48z0">
    <w:name w:val="WW8Num48z0"/>
    <w:qFormat/>
    <w:rPr>
      <w:sz w:val="28"/>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rPr>
      <w:rFonts w:ascii="Courier New" w:eastAsia="MS Gothic" w:hAnsi="Courier New"/>
      <w:sz w:val="22"/>
    </w:rPr>
  </w:style>
  <w:style w:type="character" w:customStyle="1" w:styleId="WW8Num49z2">
    <w:name w:val="WW8Num49z2"/>
    <w:qFormat/>
    <w:rPr>
      <w:rFonts w:ascii="Wingdings" w:hAnsi="Wingdings"/>
    </w:rPr>
  </w:style>
  <w:style w:type="character" w:customStyle="1" w:styleId="WW8Num49z3">
    <w:name w:val="WW8Num49z3"/>
    <w:qFormat/>
    <w:rPr>
      <w:rFonts w:ascii="Symbol" w:hAnsi="Symbol"/>
    </w:rPr>
  </w:style>
  <w:style w:type="character" w:customStyle="1" w:styleId="WW8Num50z0">
    <w:name w:val="WW8Num50z0"/>
    <w:qFormat/>
    <w:rPr>
      <w:rFonts w:ascii="Symbol" w:hAnsi="Symbol"/>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Carpredefinitoparagrafo1">
    <w:name w:val="Car. predefinito paragrafo1"/>
    <w:qFormat/>
  </w:style>
  <w:style w:type="character" w:customStyle="1" w:styleId="Caratterepredefinitoparagrafo">
    <w:name w:val="Carattere predefinito paragrafo"/>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DefaultParagraphFont1">
    <w:name w:val="Default Paragraph Font1"/>
    <w:qFormat/>
  </w:style>
  <w:style w:type="character" w:customStyle="1" w:styleId="Titolo1Carattere">
    <w:name w:val="Titolo 1 Carattere"/>
    <w:uiPriority w:val="9"/>
    <w:qFormat/>
    <w:rPr>
      <w:rFonts w:ascii="Cambria" w:hAnsi="Cambria"/>
      <w:b/>
      <w:smallCaps/>
      <w:sz w:val="28"/>
    </w:rPr>
  </w:style>
  <w:style w:type="character" w:customStyle="1" w:styleId="Titolo2Carattere">
    <w:name w:val="Titolo 2 Carattere"/>
    <w:qFormat/>
    <w:rPr>
      <w:rFonts w:ascii="Cambria" w:hAnsi="Cambria"/>
      <w:b/>
      <w:smallCaps/>
      <w:sz w:val="26"/>
    </w:rPr>
  </w:style>
  <w:style w:type="character" w:customStyle="1" w:styleId="Titolo3Carattere">
    <w:name w:val="Titolo 3 Carattere"/>
    <w:uiPriority w:val="9"/>
    <w:qFormat/>
    <w:rPr>
      <w:rFonts w:ascii="Cambria" w:hAnsi="Cambria"/>
      <w:b/>
    </w:rPr>
  </w:style>
  <w:style w:type="character" w:customStyle="1" w:styleId="Titolo4Carattere">
    <w:name w:val="Titolo 4 Carattere"/>
    <w:uiPriority w:val="9"/>
    <w:qFormat/>
    <w:rPr>
      <w:rFonts w:ascii="Cambria" w:hAnsi="Cambria"/>
      <w:b/>
      <w:i/>
    </w:rPr>
  </w:style>
  <w:style w:type="character" w:customStyle="1" w:styleId="IntestazioneCarattere">
    <w:name w:val="Intestazione Carattere"/>
    <w:qFormat/>
    <w:rPr>
      <w:rFonts w:cs="Times New Roman"/>
    </w:rPr>
  </w:style>
  <w:style w:type="character" w:customStyle="1" w:styleId="PidipaginaCarattere">
    <w:name w:val="Piè di pagina Carattere"/>
    <w:uiPriority w:val="99"/>
    <w:qFormat/>
    <w:rPr>
      <w:rFonts w:cs="Times New Roman"/>
    </w:rPr>
  </w:style>
  <w:style w:type="character" w:customStyle="1" w:styleId="Numeropagina1">
    <w:name w:val="Numero pagina1"/>
    <w:qFormat/>
    <w:rPr>
      <w:rFonts w:cs="Times New Roman"/>
    </w:rPr>
  </w:style>
  <w:style w:type="character" w:customStyle="1" w:styleId="TestofumettoCarattere">
    <w:name w:val="Testo fumetto Carattere"/>
    <w:uiPriority w:val="99"/>
    <w:qFormat/>
    <w:rPr>
      <w:rFonts w:ascii="Tahoma" w:hAnsi="Tahoma"/>
      <w:sz w:val="16"/>
    </w:rPr>
  </w:style>
  <w:style w:type="character" w:customStyle="1" w:styleId="TitoloCarattere">
    <w:name w:val="Titolo Carattere"/>
    <w:qFormat/>
    <w:rPr>
      <w:rFonts w:ascii="Cambria" w:hAnsi="Cambria"/>
      <w:color w:val="000080"/>
      <w:spacing w:val="5"/>
      <w:sz w:val="52"/>
    </w:rPr>
  </w:style>
  <w:style w:type="character" w:customStyle="1" w:styleId="Enfasi">
    <w:name w:val="Enfasi"/>
    <w:uiPriority w:val="20"/>
    <w:qFormat/>
    <w:rPr>
      <w:i/>
    </w:rPr>
  </w:style>
  <w:style w:type="character" w:customStyle="1" w:styleId="CollegamentoInternet">
    <w:name w:val="Collegamento Internet"/>
    <w:uiPriority w:val="99"/>
    <w:qFormat/>
    <w:rPr>
      <w:rFonts w:cs="Times New Roman"/>
      <w:color w:val="0000FF"/>
      <w:u w:val="single"/>
    </w:rPr>
  </w:style>
  <w:style w:type="character" w:customStyle="1" w:styleId="ListLabel1">
    <w:name w:val="ListLabel 1"/>
    <w:qFormat/>
  </w:style>
  <w:style w:type="character" w:customStyle="1" w:styleId="ListLabel2">
    <w:name w:val="ListLabel 2"/>
    <w:qFormat/>
  </w:style>
  <w:style w:type="character" w:customStyle="1" w:styleId="ListLabel3">
    <w:name w:val="ListLabel 3"/>
    <w:qFormat/>
    <w:rPr>
      <w:color w:val="000000"/>
      <w:sz w:val="20"/>
    </w:rPr>
  </w:style>
  <w:style w:type="character" w:customStyle="1" w:styleId="ListLabel4">
    <w:name w:val="ListLabel 4"/>
    <w:qFormat/>
  </w:style>
  <w:style w:type="character" w:customStyle="1" w:styleId="Punti">
    <w:name w:val="Punti"/>
    <w:qFormat/>
    <w:rPr>
      <w:rFonts w:ascii="OpenSymbol" w:hAnsi="OpenSymbol"/>
    </w:rPr>
  </w:style>
  <w:style w:type="character" w:customStyle="1" w:styleId="Caratteredinumerazione">
    <w:name w:val="Carattere di numerazione"/>
    <w:qFormat/>
  </w:style>
  <w:style w:type="character" w:customStyle="1" w:styleId="TestofumettoCarattere1">
    <w:name w:val="Testo fumetto Carattere1"/>
    <w:qFormat/>
    <w:rPr>
      <w:rFonts w:ascii="Lucida Grande" w:hAnsi="Lucida Grande"/>
      <w:sz w:val="18"/>
      <w:lang w:val="zh-CN" w:eastAsia="hi-IN" w:bidi="hi-IN"/>
    </w:rPr>
  </w:style>
  <w:style w:type="character" w:customStyle="1" w:styleId="IntestazioneCarattere1">
    <w:name w:val="Intestazione Carattere1"/>
    <w:link w:val="Intestazione"/>
    <w:qFormat/>
    <w:locked/>
    <w:rPr>
      <w:rFonts w:ascii="Calibri" w:hAnsi="Calibri"/>
      <w:sz w:val="22"/>
      <w:lang w:val="zh-CN" w:eastAsia="hi-IN" w:bidi="hi-IN"/>
    </w:rPr>
  </w:style>
  <w:style w:type="character" w:customStyle="1" w:styleId="TestonotaapidipaginaCarattere">
    <w:name w:val="Testo nota a piè di pagina Carattere"/>
    <w:link w:val="Testonotaapidipagina"/>
    <w:uiPriority w:val="99"/>
    <w:qFormat/>
    <w:locked/>
    <w:rPr>
      <w:rFonts w:ascii="Calibri" w:hAnsi="Calibri" w:cs="Mangal"/>
      <w:sz w:val="18"/>
      <w:szCs w:val="18"/>
      <w:lang w:val="zh-CN" w:eastAsia="hi-IN" w:bidi="hi-IN"/>
    </w:rPr>
  </w:style>
  <w:style w:type="character" w:customStyle="1" w:styleId="TestocommentoCarattere">
    <w:name w:val="Testo commento Carattere"/>
    <w:link w:val="Testocommento"/>
    <w:uiPriority w:val="99"/>
    <w:qFormat/>
    <w:locked/>
    <w:rPr>
      <w:rFonts w:ascii="Calibri" w:hAnsi="Calibri" w:cs="Mangal"/>
      <w:sz w:val="18"/>
      <w:szCs w:val="18"/>
      <w:lang w:val="zh-CN" w:eastAsia="hi-IN" w:bidi="hi-IN"/>
    </w:rPr>
  </w:style>
  <w:style w:type="character" w:customStyle="1" w:styleId="SoggettocommentoCarattere">
    <w:name w:val="Soggetto commento Carattere"/>
    <w:link w:val="Soggettocommento"/>
    <w:uiPriority w:val="99"/>
    <w:qFormat/>
    <w:locked/>
    <w:rPr>
      <w:rFonts w:ascii="Calibri" w:hAnsi="Calibri" w:cs="Mangal"/>
      <w:b/>
      <w:bCs/>
      <w:sz w:val="18"/>
      <w:szCs w:val="18"/>
      <w:lang w:val="zh-CN" w:eastAsia="hi-IN" w:bidi="hi-IN"/>
    </w:rPr>
  </w:style>
  <w:style w:type="character" w:customStyle="1" w:styleId="CorpotestoCarattere">
    <w:name w:val="Corpo testo Carattere"/>
    <w:link w:val="Corpodeltesto"/>
    <w:uiPriority w:val="99"/>
    <w:qFormat/>
    <w:locked/>
    <w:rPr>
      <w:rFonts w:ascii="Calibri" w:hAnsi="Calibri" w:cs="Calibri"/>
      <w:sz w:val="22"/>
      <w:lang w:val="zh-CN" w:eastAsia="hi-IN" w:bidi="hi-IN"/>
    </w:rPr>
  </w:style>
  <w:style w:type="character" w:customStyle="1" w:styleId="Titolo5Carattere">
    <w:name w:val="Titolo 5 Carattere"/>
    <w:basedOn w:val="Carpredefinitoparagrafo"/>
    <w:link w:val="Titolo5"/>
    <w:qFormat/>
    <w:rPr>
      <w:rFonts w:ascii="Cambria" w:hAnsi="Cambria"/>
      <w:color w:val="243F60"/>
      <w:sz w:val="22"/>
      <w:szCs w:val="22"/>
      <w:lang w:eastAsia="en-US"/>
    </w:rPr>
  </w:style>
  <w:style w:type="character" w:customStyle="1" w:styleId="Titolo6Carattere">
    <w:name w:val="Titolo 6 Carattere"/>
    <w:basedOn w:val="Carpredefinitoparagrafo"/>
    <w:link w:val="Titolo6"/>
    <w:uiPriority w:val="9"/>
    <w:qFormat/>
    <w:rPr>
      <w:b/>
      <w:bCs/>
      <w:sz w:val="22"/>
      <w:szCs w:val="22"/>
    </w:rPr>
  </w:style>
  <w:style w:type="character" w:customStyle="1" w:styleId="Titolo8Carattere">
    <w:name w:val="Titolo 8 Carattere"/>
    <w:basedOn w:val="Carpredefinitoparagrafo"/>
    <w:link w:val="Titolo8"/>
    <w:qFormat/>
    <w:rPr>
      <w:rFonts w:asciiTheme="majorHAnsi" w:eastAsiaTheme="majorEastAsia" w:hAnsiTheme="majorHAnsi" w:cstheme="majorBidi"/>
      <w:color w:val="404040" w:themeColor="text1" w:themeTint="BF"/>
    </w:rPr>
  </w:style>
  <w:style w:type="character" w:customStyle="1" w:styleId="Titolo9Carattere">
    <w:name w:val="Titolo 9 Carattere"/>
    <w:basedOn w:val="Carpredefinitoparagrafo"/>
    <w:link w:val="Titolo9"/>
    <w:qFormat/>
    <w:rPr>
      <w:rFonts w:asciiTheme="majorHAnsi" w:eastAsiaTheme="majorEastAsia" w:hAnsiTheme="majorHAnsi" w:cstheme="majorBidi"/>
      <w:i/>
      <w:iCs/>
      <w:color w:val="404040" w:themeColor="text1" w:themeTint="BF"/>
    </w:rPr>
  </w:style>
  <w:style w:type="character" w:customStyle="1" w:styleId="01TestoCarattereCarattere">
    <w:name w:val="01_Testo Carattere Carattere"/>
    <w:link w:val="01TestoCarattere"/>
    <w:qFormat/>
    <w:rPr>
      <w:color w:val="56533C"/>
      <w:sz w:val="18"/>
      <w:szCs w:val="18"/>
    </w:rPr>
  </w:style>
  <w:style w:type="paragraph" w:customStyle="1" w:styleId="01TestoCarattere">
    <w:name w:val="01_Testo Carattere"/>
    <w:basedOn w:val="Normale"/>
    <w:link w:val="01TestoCarattereCarattere"/>
    <w:qFormat/>
    <w:pPr>
      <w:widowControl w:val="0"/>
      <w:suppressAutoHyphens w:val="0"/>
      <w:spacing w:before="0" w:line="240" w:lineRule="atLeast"/>
      <w:jc w:val="both"/>
      <w:textAlignment w:val="center"/>
    </w:pPr>
    <w:rPr>
      <w:rFonts w:ascii="Times New Roman" w:hAnsi="Times New Roman" w:cs="Times New Roman"/>
      <w:color w:val="56533C"/>
      <w:sz w:val="18"/>
      <w:szCs w:val="18"/>
      <w:lang w:eastAsia="it-IT" w:bidi="ar-SA"/>
    </w:rPr>
  </w:style>
  <w:style w:type="character" w:customStyle="1" w:styleId="Corpodeltesto2Carattere">
    <w:name w:val="Corpo del testo 2 Carattere"/>
    <w:basedOn w:val="Carpredefinitoparagrafo"/>
    <w:link w:val="Corpodeltesto2"/>
    <w:uiPriority w:val="99"/>
    <w:qFormat/>
  </w:style>
  <w:style w:type="character" w:customStyle="1" w:styleId="NormaleWebCarattere">
    <w:name w:val="Normale (Web) Carattere"/>
    <w:link w:val="NormaleWeb"/>
    <w:qFormat/>
    <w:locked/>
    <w:rPr>
      <w:sz w:val="24"/>
      <w:szCs w:val="24"/>
    </w:rPr>
  </w:style>
  <w:style w:type="character" w:customStyle="1" w:styleId="Enfasiintensa1">
    <w:name w:val="Enfasi intensa1"/>
    <w:uiPriority w:val="66"/>
    <w:qFormat/>
    <w:rPr>
      <w:rFonts w:cs="Times New Roman"/>
      <w:b/>
      <w:bCs/>
      <w:i/>
      <w:iCs/>
      <w:color w:val="4F81BD"/>
    </w:rPr>
  </w:style>
  <w:style w:type="character" w:customStyle="1" w:styleId="TestonormaleCarattere">
    <w:name w:val="Testo normale Carattere"/>
    <w:basedOn w:val="Carpredefinitoparagrafo"/>
    <w:link w:val="Testonormale"/>
    <w:uiPriority w:val="99"/>
    <w:qFormat/>
    <w:rPr>
      <w:rFonts w:ascii="Courier New" w:hAnsi="Courier New"/>
      <w:lang w:val="zh-CN" w:eastAsia="zh-CN"/>
    </w:rPr>
  </w:style>
  <w:style w:type="character" w:customStyle="1" w:styleId="text1">
    <w:name w:val="text1"/>
    <w:basedOn w:val="Carpredefinitoparagrafo"/>
    <w:qFormat/>
  </w:style>
  <w:style w:type="character" w:customStyle="1" w:styleId="SottotitoloCarattere">
    <w:name w:val="Sottotitolo Carattere"/>
    <w:basedOn w:val="Carpredefinitoparagrafo"/>
    <w:link w:val="Sottotitolo"/>
    <w:uiPriority w:val="11"/>
    <w:qFormat/>
    <w:rPr>
      <w:rFonts w:ascii="Arial" w:hAnsi="Arial" w:cs="Arial"/>
      <w:i/>
      <w:sz w:val="28"/>
      <w:lang w:eastAsia="hi-IN" w:bidi="hi-IN"/>
    </w:rPr>
  </w:style>
  <w:style w:type="character" w:customStyle="1" w:styleId="il">
    <w:name w:val="il"/>
    <w:basedOn w:val="Carpredefinitoparagrafo"/>
    <w:qFormat/>
  </w:style>
  <w:style w:type="character" w:customStyle="1" w:styleId="SoggettocommentoCarattere1">
    <w:name w:val="Soggetto commento Carattere1"/>
    <w:basedOn w:val="TestocommentoCarattere"/>
    <w:qFormat/>
    <w:rPr>
      <w:rFonts w:ascii="Calibri" w:hAnsi="Calibri" w:cs="Mangal"/>
      <w:b/>
      <w:bCs/>
      <w:sz w:val="18"/>
      <w:szCs w:val="18"/>
      <w:lang w:val="zh-CN" w:eastAsia="hi-IN" w:bidi="hi-IN"/>
    </w:rPr>
  </w:style>
  <w:style w:type="character" w:customStyle="1" w:styleId="SottotitoloCarattere1">
    <w:name w:val="Sottotitolo Carattere1"/>
    <w:basedOn w:val="Carpredefinitoparagrafo"/>
    <w:qFormat/>
    <w:rPr>
      <w:rFonts w:asciiTheme="majorHAnsi" w:eastAsiaTheme="majorEastAsia" w:hAnsiTheme="majorHAnsi" w:cstheme="majorBidi"/>
      <w:i/>
      <w:iCs/>
      <w:color w:val="5B9BD5" w:themeColor="accent1"/>
      <w:spacing w:val="15"/>
      <w:sz w:val="24"/>
      <w:szCs w:val="24"/>
    </w:rPr>
  </w:style>
  <w:style w:type="character" w:customStyle="1" w:styleId="Rimandocommento1">
    <w:name w:val="Rimando commento1"/>
    <w:qFormat/>
    <w:rPr>
      <w:sz w:val="16"/>
    </w:rPr>
  </w:style>
  <w:style w:type="character" w:customStyle="1" w:styleId="testo1">
    <w:name w:val="testo1"/>
    <w:qFormat/>
    <w:rPr>
      <w:rFonts w:ascii="Verdana" w:hAnsi="Verdana"/>
      <w:color w:val="000000"/>
      <w:spacing w:val="320"/>
      <w:sz w:val="17"/>
      <w:szCs w:val="17"/>
      <w:shd w:val="clear" w:color="auto" w:fill="FFFFFF"/>
    </w:rPr>
  </w:style>
  <w:style w:type="character" w:customStyle="1" w:styleId="Iniziomodulo-zCarattere">
    <w:name w:val="Inizio modulo -z Carattere"/>
    <w:basedOn w:val="Carpredefinitoparagrafo"/>
    <w:uiPriority w:val="99"/>
    <w:qFormat/>
    <w:rPr>
      <w:rFonts w:ascii="Arial" w:hAnsi="Arial"/>
      <w:vanish/>
      <w:sz w:val="16"/>
      <w:szCs w:val="16"/>
      <w:lang w:eastAsia="hi-IN"/>
    </w:rPr>
  </w:style>
  <w:style w:type="character" w:customStyle="1" w:styleId="Finemodulo-zCarattere">
    <w:name w:val="Fine modulo -z Carattere"/>
    <w:basedOn w:val="Carpredefinitoparagrafo"/>
    <w:uiPriority w:val="99"/>
    <w:qFormat/>
    <w:rPr>
      <w:rFonts w:ascii="Arial" w:hAnsi="Arial"/>
      <w:vanish/>
      <w:sz w:val="16"/>
      <w:szCs w:val="16"/>
      <w:lang w:eastAsia="hi-IN"/>
    </w:rPr>
  </w:style>
  <w:style w:type="character" w:customStyle="1" w:styleId="userformat3">
    <w:name w:val="userformat3"/>
    <w:basedOn w:val="Carpredefinitoparagrafo"/>
    <w:qFormat/>
  </w:style>
  <w:style w:type="character" w:customStyle="1" w:styleId="highlightedsearchterm">
    <w:name w:val="highlightedsearchterm"/>
    <w:basedOn w:val="Carpredefinitoparagrafo"/>
    <w:qFormat/>
  </w:style>
  <w:style w:type="character" w:customStyle="1" w:styleId="Collegamentovisitato1">
    <w:name w:val="Collegamento visitato1"/>
    <w:basedOn w:val="Carpredefinitoparagrafo"/>
    <w:uiPriority w:val="99"/>
    <w:unhideWhenUsed/>
    <w:qFormat/>
    <w:rPr>
      <w:color w:val="800080"/>
      <w:u w:val="single"/>
    </w:rPr>
  </w:style>
  <w:style w:type="character" w:customStyle="1" w:styleId="Enfasiforte">
    <w:name w:val="Enfasi forte"/>
    <w:basedOn w:val="Carpredefinitoparagrafo"/>
    <w:qFormat/>
    <w:rPr>
      <w:b/>
      <w:bCs/>
    </w:rPr>
  </w:style>
  <w:style w:type="character" w:customStyle="1" w:styleId="MappadocumentoCarattere">
    <w:name w:val="Mappa documento Carattere"/>
    <w:basedOn w:val="Carpredefinitoparagrafo"/>
    <w:link w:val="Mappadocumento"/>
    <w:qFormat/>
    <w:rPr>
      <w:rFonts w:ascii="Lucida Grande" w:eastAsia="ヒラギノ角ゴ Pro W3" w:hAnsi="Lucida Grande" w:cs="Lucida Grande"/>
      <w:color w:val="000000"/>
      <w:sz w:val="24"/>
      <w:szCs w:val="24"/>
      <w:lang w:eastAsia="en-US"/>
    </w:rPr>
  </w:style>
  <w:style w:type="character" w:customStyle="1" w:styleId="Titolo2Carattere1">
    <w:name w:val="Titolo 2 Carattere1"/>
    <w:basedOn w:val="Carpredefinitoparagrafo"/>
    <w:qFormat/>
    <w:rPr>
      <w:rFonts w:ascii="Cambria" w:eastAsia="Times New Roman" w:hAnsi="Cambria" w:cs="Times New Roman"/>
      <w:b/>
      <w:bCs/>
      <w:color w:val="4F81BD"/>
      <w:sz w:val="26"/>
      <w:szCs w:val="26"/>
      <w:lang w:eastAsia="en-US"/>
    </w:rPr>
  </w:style>
  <w:style w:type="character" w:customStyle="1" w:styleId="Collegamentovisitato2">
    <w:name w:val="Collegamento visitato2"/>
    <w:basedOn w:val="Carpredefinitoparagrafo"/>
    <w:qFormat/>
    <w:rPr>
      <w:color w:val="800080"/>
      <w:u w:val="single"/>
    </w:rPr>
  </w:style>
  <w:style w:type="character" w:customStyle="1" w:styleId="Titolo4Carattere1">
    <w:name w:val="Titolo 4 Carattere1"/>
    <w:basedOn w:val="Carpredefinitoparagrafo"/>
    <w:uiPriority w:val="9"/>
    <w:semiHidden/>
    <w:qFormat/>
    <w:rPr>
      <w:rFonts w:asciiTheme="majorHAnsi" w:eastAsiaTheme="majorEastAsia" w:hAnsiTheme="majorHAnsi" w:cstheme="majorBidi"/>
      <w:i/>
      <w:iCs/>
      <w:color w:val="2E74B5" w:themeColor="accent1" w:themeShade="BF"/>
    </w:rPr>
  </w:style>
  <w:style w:type="character" w:customStyle="1" w:styleId="Titolo8Carattere1">
    <w:name w:val="Titolo 8 Carattere1"/>
    <w:basedOn w:val="Carpredefinitoparagrafo"/>
    <w:uiPriority w:val="9"/>
    <w:semiHidden/>
    <w:qFormat/>
    <w:rPr>
      <w:rFonts w:asciiTheme="majorHAnsi" w:eastAsiaTheme="majorEastAsia" w:hAnsiTheme="majorHAnsi" w:cstheme="majorBidi"/>
      <w:color w:val="262626" w:themeColor="text1" w:themeTint="D9"/>
      <w:sz w:val="21"/>
      <w:szCs w:val="21"/>
    </w:rPr>
  </w:style>
  <w:style w:type="character" w:customStyle="1" w:styleId="Titolo9Carattere1">
    <w:name w:val="Titolo 9 Carattere1"/>
    <w:basedOn w:val="Carpredefinitoparagrafo"/>
    <w:uiPriority w:val="9"/>
    <w:semiHidden/>
    <w:qFormat/>
    <w:rPr>
      <w:rFonts w:asciiTheme="majorHAnsi" w:eastAsiaTheme="majorEastAsia" w:hAnsiTheme="majorHAnsi" w:cstheme="majorBidi"/>
      <w:i/>
      <w:iCs/>
      <w:color w:val="262626" w:themeColor="text1" w:themeTint="D9"/>
      <w:sz w:val="21"/>
      <w:szCs w:val="21"/>
    </w:rPr>
  </w:style>
  <w:style w:type="character" w:customStyle="1" w:styleId="CorpotestoCarattere1">
    <w:name w:val="Corpo testo Carattere1"/>
    <w:basedOn w:val="Carpredefinitoparagrafo"/>
    <w:uiPriority w:val="99"/>
    <w:semiHidden/>
    <w:qFormat/>
    <w:rPr>
      <w:rFonts w:ascii="Times New Roman" w:eastAsia="Times New Roman" w:hAnsi="Times New Roman" w:cs="Times New Roman"/>
      <w:sz w:val="20"/>
      <w:szCs w:val="20"/>
      <w:lang w:eastAsia="it-IT"/>
    </w:rPr>
  </w:style>
  <w:style w:type="character" w:customStyle="1" w:styleId="Caratterenotaapidipagina">
    <w:name w:val="Carattere nota a piè di pagina"/>
    <w:qFormat/>
    <w:rPr>
      <w:vertAlign w:val="superscript"/>
    </w:rPr>
  </w:style>
  <w:style w:type="character" w:customStyle="1" w:styleId="Caratterenotadichiusura">
    <w:name w:val="Carattere nota di chiusura"/>
    <w:qFormat/>
  </w:style>
  <w:style w:type="character" w:customStyle="1" w:styleId="Rimandonotaapidipagina1">
    <w:name w:val="Rimando nota a piè di pagina1"/>
    <w:qFormat/>
    <w:rPr>
      <w:vertAlign w:val="superscript"/>
    </w:rPr>
  </w:style>
  <w:style w:type="character" w:customStyle="1" w:styleId="Caratteredellanota">
    <w:name w:val="Carattere della nota"/>
    <w:qFormat/>
    <w:rPr>
      <w:vertAlign w:val="superscript"/>
    </w:rPr>
  </w:style>
  <w:style w:type="character" w:customStyle="1" w:styleId="Carpredefinitoparagrafo5">
    <w:name w:val="Car. predefinito paragrafo5"/>
    <w:qFormat/>
  </w:style>
  <w:style w:type="character" w:customStyle="1" w:styleId="Carpredefinitoparagrafo4">
    <w:name w:val="Car. predefinito paragrafo4"/>
    <w:qFormat/>
  </w:style>
  <w:style w:type="character" w:customStyle="1" w:styleId="Carpredefinitoparagrafo3">
    <w:name w:val="Car. predefinito paragrafo3"/>
    <w:qFormat/>
  </w:style>
  <w:style w:type="character" w:customStyle="1" w:styleId="Carpredefinitoparagrafo2">
    <w:name w:val="Car. predefinito paragrafo2"/>
    <w:qFormat/>
  </w:style>
  <w:style w:type="character" w:customStyle="1" w:styleId="Carpredefinitoparagrafo6">
    <w:name w:val="Car. predefinito paragrafo6"/>
    <w:qFormat/>
  </w:style>
  <w:style w:type="character" w:customStyle="1" w:styleId="Heading1Char">
    <w:name w:val="Heading 1 Char"/>
    <w:basedOn w:val="Carpredefinitoparagrafo6"/>
    <w:qFormat/>
    <w:rPr>
      <w:rFonts w:ascii="Cambria" w:hAnsi="Cambria" w:cs="Times New Roman"/>
      <w:b/>
      <w:bCs/>
      <w:sz w:val="32"/>
      <w:szCs w:val="32"/>
    </w:rPr>
  </w:style>
  <w:style w:type="character" w:customStyle="1" w:styleId="Heading2Char">
    <w:name w:val="Heading 2 Char"/>
    <w:basedOn w:val="Carpredefinitoparagrafo6"/>
    <w:qFormat/>
    <w:rPr>
      <w:rFonts w:ascii="Cambria" w:hAnsi="Cambria" w:cs="Times New Roman"/>
      <w:b/>
      <w:bCs/>
      <w:i/>
      <w:iCs/>
      <w:sz w:val="28"/>
      <w:szCs w:val="28"/>
    </w:rPr>
  </w:style>
  <w:style w:type="character" w:customStyle="1" w:styleId="Heading3Char">
    <w:name w:val="Heading 3 Char"/>
    <w:basedOn w:val="Carpredefinitoparagrafo6"/>
    <w:qFormat/>
    <w:rPr>
      <w:rFonts w:ascii="Cambria" w:hAnsi="Cambria" w:cs="Mangal"/>
      <w:b/>
      <w:bCs/>
      <w:color w:val="4F81BD"/>
      <w:sz w:val="21"/>
      <w:szCs w:val="21"/>
      <w:lang w:bidi="hi-IN"/>
    </w:rPr>
  </w:style>
  <w:style w:type="character" w:customStyle="1" w:styleId="Heading4Char">
    <w:name w:val="Heading 4 Char"/>
    <w:basedOn w:val="Carpredefinitoparagrafo6"/>
    <w:qFormat/>
    <w:rPr>
      <w:rFonts w:ascii="Times New Roman" w:eastAsia="Times New Roman" w:hAnsi="Times New Roman" w:cs="Times New Roman"/>
      <w:b/>
      <w:bCs/>
      <w:sz w:val="28"/>
      <w:szCs w:val="28"/>
    </w:rPr>
  </w:style>
  <w:style w:type="character" w:customStyle="1" w:styleId="Heading5Char">
    <w:name w:val="Heading 5 Char"/>
    <w:basedOn w:val="Carpredefinitoparagrafo6"/>
    <w:qFormat/>
    <w:rPr>
      <w:rFonts w:ascii="Cambria" w:hAnsi="Cambria" w:cs="Times New Roman"/>
      <w:color w:val="243F60"/>
    </w:rPr>
  </w:style>
  <w:style w:type="character" w:customStyle="1" w:styleId="Heading6Char">
    <w:name w:val="Heading 6 Char"/>
    <w:basedOn w:val="Carpredefinitoparagrafo6"/>
    <w:qFormat/>
    <w:rPr>
      <w:rFonts w:ascii="Times New Roman" w:hAnsi="Times New Roman" w:cs="Times New Roman"/>
      <w:b/>
      <w:bCs/>
    </w:rPr>
  </w:style>
  <w:style w:type="character" w:customStyle="1" w:styleId="Heading8Char">
    <w:name w:val="Heading 8 Char"/>
    <w:basedOn w:val="Carpredefinitoparagrafo6"/>
    <w:qFormat/>
    <w:rPr>
      <w:rFonts w:ascii="Cambria" w:hAnsi="Cambria" w:cs="Times New Roman"/>
      <w:color w:val="404040"/>
      <w:sz w:val="20"/>
      <w:szCs w:val="20"/>
    </w:rPr>
  </w:style>
  <w:style w:type="character" w:customStyle="1" w:styleId="Heading9Char">
    <w:name w:val="Heading 9 Char"/>
    <w:basedOn w:val="Carpredefinitoparagrafo6"/>
    <w:qFormat/>
    <w:rPr>
      <w:rFonts w:ascii="Cambria" w:hAnsi="Cambria" w:cs="Times New Roman"/>
      <w:i/>
      <w:iCs/>
      <w:color w:val="404040"/>
      <w:sz w:val="20"/>
      <w:szCs w:val="20"/>
    </w:rPr>
  </w:style>
  <w:style w:type="character" w:customStyle="1" w:styleId="FootnoteTextChar">
    <w:name w:val="Footnote Text Char"/>
    <w:basedOn w:val="Carpredefinitoparagrafo6"/>
    <w:qFormat/>
    <w:rPr>
      <w:rFonts w:ascii="Times New Roman" w:hAnsi="Times New Roman" w:cs="Times New Roman"/>
      <w:sz w:val="20"/>
      <w:szCs w:val="20"/>
    </w:rPr>
  </w:style>
  <w:style w:type="character" w:customStyle="1" w:styleId="HeaderChar">
    <w:name w:val="Header Char"/>
    <w:basedOn w:val="Carpredefinitoparagrafo6"/>
    <w:qFormat/>
    <w:rPr>
      <w:rFonts w:ascii="Times New Roman" w:hAnsi="Times New Roman" w:cs="Times New Roman"/>
      <w:sz w:val="20"/>
      <w:szCs w:val="20"/>
    </w:rPr>
  </w:style>
  <w:style w:type="character" w:customStyle="1" w:styleId="FooterChar">
    <w:name w:val="Footer Char"/>
    <w:basedOn w:val="Carpredefinitoparagrafo6"/>
    <w:qFormat/>
    <w:rPr>
      <w:rFonts w:ascii="Times New Roman" w:hAnsi="Times New Roman" w:cs="Times New Roman"/>
      <w:sz w:val="20"/>
      <w:szCs w:val="20"/>
    </w:rPr>
  </w:style>
  <w:style w:type="character" w:customStyle="1" w:styleId="BodyText2Char">
    <w:name w:val="Body Text 2 Char"/>
    <w:basedOn w:val="Carpredefinitoparagrafo6"/>
    <w:qFormat/>
    <w:rPr>
      <w:rFonts w:ascii="Times New Roman" w:hAnsi="Times New Roman" w:cs="Times New Roman"/>
      <w:sz w:val="20"/>
      <w:szCs w:val="20"/>
    </w:rPr>
  </w:style>
  <w:style w:type="character" w:customStyle="1" w:styleId="TitleChar">
    <w:name w:val="Title Char"/>
    <w:basedOn w:val="Carpredefinitoparagrafo6"/>
    <w:qFormat/>
    <w:rPr>
      <w:rFonts w:ascii="Cambria" w:hAnsi="Cambria" w:cs="Times New Roman"/>
      <w:b/>
      <w:bCs/>
      <w:sz w:val="32"/>
      <w:szCs w:val="32"/>
    </w:rPr>
  </w:style>
  <w:style w:type="character" w:customStyle="1" w:styleId="CommentTextChar">
    <w:name w:val="Comment Text Char"/>
    <w:basedOn w:val="Carpredefinitoparagrafo6"/>
    <w:qFormat/>
    <w:rPr>
      <w:rFonts w:ascii="Times New Roman" w:hAnsi="Times New Roman" w:cs="Times New Roman"/>
      <w:sz w:val="20"/>
      <w:szCs w:val="20"/>
    </w:rPr>
  </w:style>
  <w:style w:type="character" w:customStyle="1" w:styleId="BalloonTextChar">
    <w:name w:val="Balloon Text Char"/>
    <w:basedOn w:val="Carpredefinitoparagrafo6"/>
    <w:qFormat/>
    <w:rPr>
      <w:rFonts w:ascii="Tahoma" w:hAnsi="Tahoma" w:cs="Tahoma"/>
      <w:sz w:val="16"/>
      <w:szCs w:val="16"/>
    </w:rPr>
  </w:style>
  <w:style w:type="character" w:customStyle="1" w:styleId="NormalWebChar">
    <w:name w:val="Normal (Web) Char"/>
    <w:qFormat/>
    <w:rPr>
      <w:sz w:val="24"/>
    </w:rPr>
  </w:style>
  <w:style w:type="character" w:customStyle="1" w:styleId="Enfasigrassetto1">
    <w:name w:val="Enfasi (grassetto)1"/>
    <w:basedOn w:val="Carpredefinitoparagrafo6"/>
    <w:qFormat/>
    <w:rPr>
      <w:rFonts w:ascii="Times New Roman" w:hAnsi="Times New Roman" w:cs="Times New Roman"/>
      <w:b/>
    </w:rPr>
  </w:style>
  <w:style w:type="character" w:customStyle="1" w:styleId="BodyTextChar">
    <w:name w:val="Body Text Char"/>
    <w:basedOn w:val="Carpredefinitoparagrafo6"/>
    <w:qFormat/>
    <w:rPr>
      <w:rFonts w:ascii="Times New Roman" w:hAnsi="Times New Roman" w:cs="Times New Roman"/>
      <w:sz w:val="24"/>
      <w:szCs w:val="24"/>
      <w:lang w:bidi="ar-SA"/>
    </w:rPr>
  </w:style>
  <w:style w:type="character" w:customStyle="1" w:styleId="Enfasiintensa10">
    <w:name w:val="Enfasi intensa1"/>
    <w:basedOn w:val="Carpredefinitoparagrafo6"/>
    <w:qFormat/>
    <w:rPr>
      <w:rFonts w:ascii="Times New Roman" w:hAnsi="Times New Roman" w:cs="Times New Roman"/>
      <w:b/>
      <w:i/>
      <w:color w:val="4F81BD"/>
    </w:rPr>
  </w:style>
  <w:style w:type="character" w:customStyle="1" w:styleId="Rimandocommento2">
    <w:name w:val="Rimando commento2"/>
    <w:basedOn w:val="Carpredefinitoparagrafo6"/>
    <w:qFormat/>
    <w:rPr>
      <w:rFonts w:ascii="Times New Roman" w:hAnsi="Times New Roman" w:cs="Times New Roman"/>
      <w:sz w:val="16"/>
      <w:szCs w:val="16"/>
    </w:rPr>
  </w:style>
  <w:style w:type="character" w:customStyle="1" w:styleId="CommentSubjectChar">
    <w:name w:val="Comment Subject Char"/>
    <w:qFormat/>
    <w:rPr>
      <w:rFonts w:ascii="Verdana" w:hAnsi="Verdana" w:cs="Verdana"/>
      <w:b/>
      <w:sz w:val="20"/>
    </w:rPr>
  </w:style>
  <w:style w:type="character" w:customStyle="1" w:styleId="PlainTextChar">
    <w:name w:val="Plain Text Char"/>
    <w:basedOn w:val="Carpredefinitoparagrafo6"/>
    <w:qFormat/>
    <w:rPr>
      <w:rFonts w:ascii="Courier New" w:hAnsi="Courier New" w:cs="Times New Roman"/>
      <w:sz w:val="20"/>
      <w:szCs w:val="20"/>
    </w:rPr>
  </w:style>
  <w:style w:type="character" w:customStyle="1" w:styleId="SubtitleChar">
    <w:name w:val="Subtitle Char"/>
    <w:qFormat/>
    <w:rPr>
      <w:rFonts w:ascii="Cambria" w:hAnsi="Cambria" w:cs="Cambria"/>
      <w:i/>
      <w:color w:val="4F81BD"/>
      <w:spacing w:val="15"/>
      <w:sz w:val="24"/>
    </w:rPr>
  </w:style>
  <w:style w:type="character" w:customStyle="1" w:styleId="CommentSubjectChar1">
    <w:name w:val="Comment Subject Char1"/>
    <w:basedOn w:val="CommentTextChar"/>
    <w:qFormat/>
    <w:rPr>
      <w:rFonts w:ascii="Times New Roman" w:hAnsi="Times New Roman" w:cs="Times New Roman"/>
      <w:b/>
      <w:bCs/>
      <w:sz w:val="20"/>
      <w:szCs w:val="20"/>
    </w:rPr>
  </w:style>
  <w:style w:type="character" w:customStyle="1" w:styleId="SubtitleChar1">
    <w:name w:val="Subtitle Char1"/>
    <w:basedOn w:val="Carpredefinitoparagrafo6"/>
    <w:qFormat/>
    <w:rPr>
      <w:rFonts w:ascii="Cambria" w:hAnsi="Cambria" w:cs="Times New Roman"/>
      <w:sz w:val="24"/>
      <w:szCs w:val="24"/>
    </w:rPr>
  </w:style>
  <w:style w:type="character" w:customStyle="1" w:styleId="z-TopofFormChar">
    <w:name w:val="z-Top of Form Char"/>
    <w:basedOn w:val="Carpredefinitoparagrafo6"/>
    <w:qFormat/>
    <w:rPr>
      <w:rFonts w:ascii="Arial" w:hAnsi="Arial" w:cs="Times New Roman"/>
      <w:sz w:val="16"/>
      <w:szCs w:val="16"/>
      <w:lang w:bidi="hi-IN"/>
    </w:rPr>
  </w:style>
  <w:style w:type="character" w:customStyle="1" w:styleId="z-BottomofFormChar">
    <w:name w:val="z-Bottom of Form Char"/>
    <w:basedOn w:val="Carpredefinitoparagrafo6"/>
    <w:qFormat/>
    <w:rPr>
      <w:rFonts w:ascii="Arial" w:hAnsi="Arial" w:cs="Times New Roman"/>
      <w:sz w:val="16"/>
      <w:szCs w:val="16"/>
      <w:lang w:bidi="hi-IN"/>
    </w:rPr>
  </w:style>
  <w:style w:type="character" w:customStyle="1" w:styleId="Rimandonotadichiusura1">
    <w:name w:val="Rimando nota di chiusura1"/>
    <w:basedOn w:val="Carpredefinitoparagrafo6"/>
    <w:qFormat/>
    <w:rPr>
      <w:rFonts w:ascii="Times New Roman" w:hAnsi="Times New Roman" w:cs="Times New Roman"/>
      <w:vertAlign w:val="superscript"/>
    </w:rPr>
  </w:style>
  <w:style w:type="character" w:customStyle="1" w:styleId="Collegamentovisitato3">
    <w:name w:val="Collegamento visitato3"/>
    <w:basedOn w:val="Carpredefinitoparagrafo6"/>
    <w:qFormat/>
    <w:rPr>
      <w:rFonts w:ascii="Times New Roman" w:hAnsi="Times New Roman" w:cs="Times New Roman"/>
      <w:color w:val="800080"/>
      <w:u w:val="single"/>
    </w:rPr>
  </w:style>
  <w:style w:type="character" w:customStyle="1" w:styleId="DocumentMapChar">
    <w:name w:val="Document Map Char"/>
    <w:basedOn w:val="Carpredefinitoparagrafo6"/>
    <w:qFormat/>
    <w:rPr>
      <w:rFonts w:ascii="Lucida Grande" w:hAnsi="Lucida Grande" w:cs="Lucida Grande"/>
      <w:color w:val="000000"/>
      <w:sz w:val="24"/>
      <w:szCs w:val="24"/>
    </w:rPr>
  </w:style>
  <w:style w:type="character" w:customStyle="1" w:styleId="NessunaspaziaturaCarattere">
    <w:name w:val="Nessuna spaziatura Carattere"/>
    <w:link w:val="Nessunaspaziatura1"/>
    <w:uiPriority w:val="1"/>
    <w:qFormat/>
    <w:rPr>
      <w:rFonts w:ascii="Calibri" w:hAnsi="Calibri"/>
      <w:sz w:val="22"/>
      <w:szCs w:val="22"/>
      <w:lang w:eastAsia="en-US"/>
    </w:rPr>
  </w:style>
  <w:style w:type="paragraph" w:customStyle="1" w:styleId="Nessunaspaziatura1">
    <w:name w:val="Nessuna spaziatura1"/>
    <w:link w:val="NessunaspaziaturaCarattere"/>
    <w:uiPriority w:val="1"/>
    <w:qFormat/>
    <w:rPr>
      <w:rFonts w:ascii="Calibri" w:eastAsia="Times New Roman" w:hAnsi="Calibri"/>
      <w:sz w:val="22"/>
      <w:szCs w:val="22"/>
      <w:lang w:eastAsia="en-US"/>
    </w:rPr>
  </w:style>
  <w:style w:type="character" w:customStyle="1" w:styleId="apple-converted-space">
    <w:name w:val="apple-converted-space"/>
    <w:basedOn w:val="Carpredefinitoparagrafo"/>
    <w:qFormat/>
  </w:style>
  <w:style w:type="character" w:customStyle="1" w:styleId="ListLabel5">
    <w:name w:val="ListLabel 5"/>
    <w:qFormat/>
    <w:rPr>
      <w:rFonts w:cs="Times New Roman"/>
    </w:rPr>
  </w:style>
  <w:style w:type="character" w:customStyle="1" w:styleId="ListLabel6">
    <w:name w:val="ListLabel 6"/>
    <w:qFormat/>
    <w:rPr>
      <w:rFonts w:cs="Courier New"/>
    </w:rPr>
  </w:style>
  <w:style w:type="character" w:customStyle="1" w:styleId="ListLabel7">
    <w:name w:val="ListLabel 7"/>
    <w:qFormat/>
    <w:rPr>
      <w:sz w:val="20"/>
    </w:rPr>
  </w:style>
  <w:style w:type="character" w:customStyle="1" w:styleId="Saltoaindice">
    <w:name w:val="Salto a indice"/>
    <w:qFormat/>
  </w:style>
  <w:style w:type="character" w:customStyle="1" w:styleId="Richiamoallanotaapidipagina">
    <w:name w:val="Richiamo alla nota a piè di pagina"/>
    <w:rPr>
      <w:vertAlign w:val="superscript"/>
    </w:rPr>
  </w:style>
  <w:style w:type="character" w:customStyle="1" w:styleId="Richiamoallanotadichiusura">
    <w:name w:val="Richiamo alla nota di chiusura"/>
    <w:rPr>
      <w:vertAlign w:val="superscript"/>
    </w:rPr>
  </w:style>
  <w:style w:type="paragraph" w:customStyle="1" w:styleId="Indice">
    <w:name w:val="Indice"/>
    <w:basedOn w:val="Normale"/>
    <w:qFormat/>
    <w:pPr>
      <w:suppressLineNumbers/>
    </w:pPr>
  </w:style>
  <w:style w:type="paragraph" w:customStyle="1" w:styleId="Intestazione3">
    <w:name w:val="Intestazione3"/>
    <w:basedOn w:val="Normale"/>
    <w:qFormat/>
    <w:pPr>
      <w:keepNext/>
      <w:spacing w:before="240" w:after="120"/>
    </w:pPr>
    <w:rPr>
      <w:rFonts w:ascii="Arial" w:eastAsia="Arial Unicode MS" w:hAnsi="Arial" w:cs="Mangal"/>
      <w:sz w:val="28"/>
      <w:szCs w:val="28"/>
    </w:rPr>
  </w:style>
  <w:style w:type="paragraph" w:customStyle="1" w:styleId="Didascalia3">
    <w:name w:val="Didascalia3"/>
    <w:basedOn w:val="Normale"/>
    <w:qFormat/>
    <w:pPr>
      <w:suppressLineNumbers/>
      <w:spacing w:after="120"/>
    </w:pPr>
    <w:rPr>
      <w:rFonts w:cs="Mangal"/>
      <w:i/>
      <w:iCs/>
      <w:sz w:val="24"/>
      <w:szCs w:val="24"/>
    </w:rPr>
  </w:style>
  <w:style w:type="paragraph" w:customStyle="1" w:styleId="Intestazione2">
    <w:name w:val="Intestazione2"/>
    <w:basedOn w:val="Normale"/>
    <w:qFormat/>
    <w:pPr>
      <w:keepNext/>
      <w:spacing w:before="240" w:after="120"/>
    </w:pPr>
    <w:rPr>
      <w:rFonts w:ascii="Arial" w:eastAsia="Arial Unicode MS" w:hAnsi="Arial" w:cs="Mangal"/>
      <w:sz w:val="28"/>
      <w:szCs w:val="28"/>
    </w:rPr>
  </w:style>
  <w:style w:type="paragraph" w:customStyle="1" w:styleId="Didascalia2">
    <w:name w:val="Didascalia2"/>
    <w:basedOn w:val="Normale"/>
    <w:qFormat/>
    <w:pPr>
      <w:suppressLineNumbers/>
      <w:spacing w:after="120"/>
    </w:pPr>
    <w:rPr>
      <w:rFonts w:cs="Mangal"/>
      <w:i/>
      <w:iCs/>
      <w:sz w:val="24"/>
      <w:szCs w:val="24"/>
    </w:rPr>
  </w:style>
  <w:style w:type="paragraph" w:customStyle="1" w:styleId="Didascalia1">
    <w:name w:val="Didascalia1"/>
    <w:basedOn w:val="Normale"/>
    <w:qFormat/>
    <w:pPr>
      <w:suppressLineNumbers/>
      <w:spacing w:after="120"/>
    </w:pPr>
    <w:rPr>
      <w:i/>
      <w:sz w:val="24"/>
    </w:rPr>
  </w:style>
  <w:style w:type="paragraph" w:customStyle="1" w:styleId="ListParagraph1">
    <w:name w:val="List Paragraph1"/>
    <w:basedOn w:val="Normale"/>
    <w:qFormat/>
    <w:pPr>
      <w:ind w:left="720"/>
    </w:pPr>
  </w:style>
  <w:style w:type="paragraph" w:customStyle="1" w:styleId="BalloonText1">
    <w:name w:val="Balloon Text1"/>
    <w:basedOn w:val="Normale"/>
    <w:qFormat/>
    <w:pPr>
      <w:spacing w:before="0"/>
    </w:pPr>
    <w:rPr>
      <w:rFonts w:ascii="Tahoma" w:hAnsi="Tahoma" w:cs="Tahoma"/>
      <w:sz w:val="16"/>
    </w:rPr>
  </w:style>
  <w:style w:type="paragraph" w:customStyle="1" w:styleId="Titoloprincipale">
    <w:name w:val="Titolo principale"/>
    <w:basedOn w:val="Normale"/>
    <w:next w:val="Sottotitolo"/>
    <w:qFormat/>
    <w:pPr>
      <w:pBdr>
        <w:bottom w:val="single" w:sz="4" w:space="4" w:color="808080"/>
      </w:pBdr>
      <w:spacing w:before="0" w:after="300"/>
      <w:jc w:val="both"/>
    </w:pPr>
    <w:rPr>
      <w:rFonts w:ascii="Cambria" w:hAnsi="Cambria" w:cs="Cambria"/>
      <w:b/>
      <w:color w:val="000080"/>
      <w:spacing w:val="5"/>
      <w:sz w:val="52"/>
    </w:rPr>
  </w:style>
  <w:style w:type="paragraph" w:customStyle="1" w:styleId="NormalWeb1">
    <w:name w:val="Normal (Web)1"/>
    <w:basedOn w:val="Normale"/>
    <w:qFormat/>
    <w:pPr>
      <w:spacing w:before="100" w:after="100"/>
    </w:pPr>
    <w:rPr>
      <w:rFonts w:ascii="Times New Roman" w:hAnsi="Times New Roman" w:cs="Times New Roman"/>
      <w:sz w:val="24"/>
    </w:rPr>
  </w:style>
  <w:style w:type="paragraph" w:customStyle="1" w:styleId="Default">
    <w:name w:val="Default"/>
    <w:qFormat/>
    <w:pPr>
      <w:suppressAutoHyphens/>
    </w:pPr>
    <w:rPr>
      <w:rFonts w:eastAsia="Times New Roman"/>
      <w:color w:val="000000"/>
      <w:sz w:val="24"/>
      <w:lang w:eastAsia="hi-IN" w:bidi="hi-IN"/>
    </w:rPr>
  </w:style>
  <w:style w:type="paragraph" w:customStyle="1" w:styleId="TOCI">
    <w:name w:val="TOCI"/>
    <w:basedOn w:val="Default"/>
    <w:qFormat/>
    <w:rPr>
      <w:rFonts w:ascii="Century Gothic" w:hAnsi="Century Gothic" w:cs="Century Gothic"/>
    </w:rPr>
  </w:style>
  <w:style w:type="paragraph" w:customStyle="1" w:styleId="Contenutotabella">
    <w:name w:val="Contenuto tabella"/>
    <w:basedOn w:val="Normale"/>
    <w:qFormat/>
    <w:pPr>
      <w:suppressLineNumbers/>
      <w:spacing w:before="0" w:after="200"/>
    </w:pPr>
    <w:rPr>
      <w:rFonts w:ascii="Cambria" w:hAnsi="Cambria" w:cs="Cambria"/>
      <w:sz w:val="24"/>
    </w:rPr>
  </w:style>
  <w:style w:type="paragraph" w:customStyle="1" w:styleId="Paragrafoelenco1">
    <w:name w:val="Paragrafo elenco1"/>
    <w:basedOn w:val="Normale"/>
    <w:qFormat/>
    <w:pPr>
      <w:ind w:left="708"/>
    </w:pPr>
    <w:rPr>
      <w:rFonts w:cs="Mangal"/>
    </w:rPr>
  </w:style>
  <w:style w:type="paragraph" w:customStyle="1" w:styleId="Intestazionetabella">
    <w:name w:val="Intestazione tabella"/>
    <w:basedOn w:val="Contenutotabella"/>
    <w:qFormat/>
    <w:pPr>
      <w:jc w:val="center"/>
    </w:pPr>
    <w:rPr>
      <w:b/>
      <w:bCs/>
    </w:rPr>
  </w:style>
  <w:style w:type="paragraph" w:customStyle="1" w:styleId="Revisione1">
    <w:name w:val="Revisione1"/>
    <w:qFormat/>
    <w:rPr>
      <w:rFonts w:ascii="Calibri" w:eastAsia="Times New Roman" w:hAnsi="Calibri" w:cs="Mangal"/>
      <w:sz w:val="22"/>
      <w:lang w:eastAsia="hi-IN" w:bidi="hi-IN"/>
    </w:rPr>
  </w:style>
  <w:style w:type="paragraph" w:customStyle="1" w:styleId="Paragrafoelenco2">
    <w:name w:val="Paragrafo elenco2"/>
    <w:basedOn w:val="Normale"/>
    <w:uiPriority w:val="99"/>
    <w:qFormat/>
    <w:pPr>
      <w:suppressAutoHyphens w:val="0"/>
      <w:spacing w:before="0"/>
      <w:ind w:left="720"/>
      <w:contextualSpacing/>
    </w:pPr>
    <w:rPr>
      <w:rFonts w:ascii="Times New Roman" w:hAnsi="Times New Roman" w:cs="Times New Roman"/>
      <w:sz w:val="20"/>
      <w:lang w:eastAsia="it-IT" w:bidi="ar-SA"/>
    </w:rPr>
  </w:style>
  <w:style w:type="paragraph" w:customStyle="1" w:styleId="StileProva">
    <w:name w:val="StileProva"/>
    <w:basedOn w:val="Normale"/>
    <w:qFormat/>
    <w:pPr>
      <w:suppressAutoHyphens w:val="0"/>
      <w:spacing w:before="0"/>
      <w:jc w:val="both"/>
    </w:pPr>
    <w:rPr>
      <w:rFonts w:ascii="Trebuchet MS" w:hAnsi="Trebuchet MS" w:cs="Times New Roman"/>
      <w:color w:val="000000"/>
      <w:sz w:val="16"/>
      <w:szCs w:val="16"/>
      <w:lang w:eastAsia="it-IT" w:bidi="ar-SA"/>
    </w:rPr>
  </w:style>
  <w:style w:type="paragraph" w:customStyle="1" w:styleId="01Titolocapitolo00">
    <w:name w:val="01_Titolo capitolo 0.0"/>
    <w:basedOn w:val="Normale"/>
    <w:qFormat/>
    <w:pPr>
      <w:widowControl w:val="0"/>
      <w:suppressAutoHyphens w:val="0"/>
      <w:spacing w:before="0" w:line="240" w:lineRule="atLeast"/>
      <w:ind w:left="567"/>
    </w:pPr>
    <w:rPr>
      <w:rFonts w:ascii="Times New Roman MT Std Bd" w:hAnsi="Times New Roman MT Std Bd" w:cs="Times New Roman"/>
      <w:color w:val="008080"/>
      <w:sz w:val="40"/>
      <w:szCs w:val="40"/>
      <w:lang w:eastAsia="it-IT" w:bidi="ar-SA"/>
    </w:rPr>
  </w:style>
  <w:style w:type="paragraph" w:customStyle="1" w:styleId="02Colonnadatigrassetto">
    <w:name w:val="02_Colonna dati grassetto"/>
    <w:basedOn w:val="Normale"/>
    <w:uiPriority w:val="99"/>
    <w:qFormat/>
    <w:pPr>
      <w:widowControl w:val="0"/>
      <w:suppressAutoHyphens w:val="0"/>
      <w:spacing w:before="0" w:line="180" w:lineRule="atLeast"/>
      <w:jc w:val="center"/>
    </w:pPr>
    <w:rPr>
      <w:rFonts w:ascii="Arial" w:hAnsi="Arial" w:cs="Arial"/>
      <w:b/>
      <w:bCs/>
      <w:i/>
      <w:iCs/>
      <w:color w:val="000000"/>
      <w:sz w:val="18"/>
      <w:szCs w:val="18"/>
      <w:lang w:eastAsia="it-IT" w:bidi="ar-SA"/>
    </w:rPr>
  </w:style>
  <w:style w:type="paragraph" w:customStyle="1" w:styleId="01SottotitoloCapitolo00">
    <w:name w:val="01_Sottotitolo_Capitolo_0.0"/>
    <w:basedOn w:val="01Titolocapitolo00"/>
    <w:qFormat/>
    <w:pPr>
      <w:ind w:left="1134"/>
    </w:pPr>
    <w:rPr>
      <w:sz w:val="24"/>
      <w:szCs w:val="24"/>
    </w:rPr>
  </w:style>
  <w:style w:type="paragraph" w:customStyle="1" w:styleId="Standard">
    <w:name w:val="Standard"/>
    <w:qFormat/>
    <w:pPr>
      <w:suppressAutoHyphens/>
      <w:textAlignment w:val="baseline"/>
    </w:pPr>
    <w:rPr>
      <w:rFonts w:ascii="Calibri" w:eastAsia="SimSun" w:hAnsi="Calibri" w:cs="Calibri"/>
      <w:sz w:val="22"/>
      <w:szCs w:val="22"/>
      <w:lang w:eastAsia="en-US"/>
    </w:rPr>
  </w:style>
  <w:style w:type="paragraph" w:customStyle="1" w:styleId="Soggettocommento1">
    <w:name w:val="Soggetto commento1"/>
    <w:basedOn w:val="Testocommento"/>
    <w:uiPriority w:val="99"/>
    <w:unhideWhenUsed/>
    <w:qFormat/>
    <w:pPr>
      <w:suppressAutoHyphens w:val="0"/>
      <w:spacing w:before="0"/>
    </w:pPr>
    <w:rPr>
      <w:rFonts w:eastAsia="Calibri" w:cs="Times New Roman"/>
      <w:b/>
      <w:bCs/>
      <w:szCs w:val="20"/>
      <w:lang w:eastAsia="en-US" w:bidi="ar-SA"/>
    </w:rPr>
  </w:style>
  <w:style w:type="paragraph" w:customStyle="1" w:styleId="Corpotesto1">
    <w:name w:val="Corpo testo1"/>
    <w:basedOn w:val="Normale"/>
    <w:qFormat/>
    <w:pPr>
      <w:widowControl w:val="0"/>
      <w:spacing w:before="0" w:after="120"/>
    </w:pPr>
    <w:rPr>
      <w:rFonts w:ascii="Arial" w:hAnsi="Arial" w:cs="Arial"/>
      <w:sz w:val="24"/>
      <w:szCs w:val="24"/>
      <w:lang w:eastAsia="ar-SA" w:bidi="ar-SA"/>
    </w:rPr>
  </w:style>
  <w:style w:type="paragraph" w:customStyle="1" w:styleId="Sottotitolo1">
    <w:name w:val="Sottotitolo1"/>
    <w:basedOn w:val="Normale"/>
    <w:uiPriority w:val="11"/>
    <w:qFormat/>
    <w:pPr>
      <w:suppressAutoHyphens w:val="0"/>
      <w:spacing w:before="0"/>
    </w:pPr>
    <w:rPr>
      <w:rFonts w:ascii="Cambria" w:hAnsi="Cambria" w:cs="Times New Roman"/>
      <w:i/>
      <w:iCs/>
      <w:color w:val="4F81BD"/>
      <w:spacing w:val="15"/>
      <w:sz w:val="24"/>
      <w:szCs w:val="24"/>
      <w:lang w:eastAsia="it-IT" w:bidi="ar-SA"/>
    </w:rPr>
  </w:style>
  <w:style w:type="paragraph" w:customStyle="1" w:styleId="Titolo3Verdana">
    <w:name w:val="Titolo 3 + Verdana"/>
    <w:basedOn w:val="Titolo1"/>
    <w:qFormat/>
    <w:pPr>
      <w:keepLines w:val="0"/>
      <w:numPr>
        <w:numId w:val="0"/>
      </w:numPr>
      <w:suppressAutoHyphens w:val="0"/>
      <w:spacing w:before="120" w:after="120" w:line="360" w:lineRule="auto"/>
      <w:jc w:val="both"/>
    </w:pPr>
    <w:rPr>
      <w:rFonts w:ascii="Verdana" w:hAnsi="Verdana" w:cs="Times New Roman"/>
      <w:bCs/>
      <w:smallCaps w:val="0"/>
      <w:sz w:val="24"/>
      <w:szCs w:val="24"/>
      <w:lang w:val="zh-CN" w:eastAsia="zh-CN" w:bidi="ar-SA"/>
    </w:rPr>
  </w:style>
  <w:style w:type="paragraph" w:customStyle="1" w:styleId="Titolotabella">
    <w:name w:val="Titolo tabella"/>
    <w:basedOn w:val="Contenutotabella"/>
    <w:qFormat/>
    <w:pPr>
      <w:spacing w:after="0"/>
      <w:jc w:val="center"/>
    </w:pPr>
    <w:rPr>
      <w:rFonts w:ascii="Times New Roman" w:hAnsi="Times New Roman" w:cs="Times New Roman"/>
      <w:b/>
      <w:bCs/>
      <w:szCs w:val="24"/>
      <w:lang w:eastAsia="zh-CN" w:bidi="ar-SA"/>
    </w:rPr>
  </w:style>
  <w:style w:type="paragraph" w:customStyle="1" w:styleId="Revisione2">
    <w:name w:val="Revisione2"/>
    <w:uiPriority w:val="99"/>
    <w:semiHidden/>
    <w:qFormat/>
    <w:rPr>
      <w:rFonts w:eastAsia="Times New Roman"/>
      <w:sz w:val="22"/>
    </w:rPr>
  </w:style>
  <w:style w:type="paragraph" w:customStyle="1" w:styleId="Iniziomodulo-z1">
    <w:name w:val="Inizio modulo -z1"/>
    <w:basedOn w:val="Normale"/>
    <w:uiPriority w:val="99"/>
    <w:unhideWhenUsed/>
    <w:qFormat/>
    <w:pPr>
      <w:pBdr>
        <w:bottom w:val="single" w:sz="6" w:space="1" w:color="00000A"/>
      </w:pBdr>
      <w:suppressAutoHyphens w:val="0"/>
      <w:spacing w:before="0"/>
      <w:jc w:val="center"/>
    </w:pPr>
    <w:rPr>
      <w:rFonts w:ascii="Arial" w:hAnsi="Arial" w:cs="Times New Roman"/>
      <w:vanish/>
      <w:sz w:val="16"/>
      <w:szCs w:val="16"/>
      <w:lang w:bidi="ar-SA"/>
    </w:rPr>
  </w:style>
  <w:style w:type="paragraph" w:customStyle="1" w:styleId="Finemodulo-z1">
    <w:name w:val="Fine modulo -z1"/>
    <w:basedOn w:val="Normale"/>
    <w:uiPriority w:val="99"/>
    <w:unhideWhenUsed/>
    <w:qFormat/>
    <w:pPr>
      <w:pBdr>
        <w:top w:val="single" w:sz="6" w:space="1" w:color="00000A"/>
      </w:pBdr>
      <w:suppressAutoHyphens w:val="0"/>
      <w:spacing w:before="0"/>
      <w:jc w:val="center"/>
    </w:pPr>
    <w:rPr>
      <w:rFonts w:ascii="Arial" w:hAnsi="Arial" w:cs="Times New Roman"/>
      <w:vanish/>
      <w:sz w:val="16"/>
      <w:szCs w:val="16"/>
      <w:lang w:bidi="ar-SA"/>
    </w:rPr>
  </w:style>
  <w:style w:type="paragraph" w:customStyle="1" w:styleId="Corpodeltesto21">
    <w:name w:val="Corpo del testo 21"/>
    <w:basedOn w:val="Normale"/>
    <w:qFormat/>
    <w:pPr>
      <w:spacing w:before="0"/>
      <w:jc w:val="both"/>
    </w:pPr>
    <w:rPr>
      <w:rFonts w:ascii="Times New Roman" w:hAnsi="Times New Roman" w:cs="Times New Roman"/>
      <w:sz w:val="32"/>
      <w:szCs w:val="24"/>
      <w:lang w:eastAsia="ar-SA" w:bidi="ar-SA"/>
    </w:rPr>
  </w:style>
  <w:style w:type="paragraph" w:customStyle="1" w:styleId="viewpar">
    <w:name w:val="viewpar"/>
    <w:basedOn w:val="Normale"/>
    <w:qFormat/>
    <w:pPr>
      <w:suppressAutoHyphens w:val="0"/>
      <w:spacing w:beforeAutospacing="1" w:afterAutospacing="1"/>
    </w:pPr>
    <w:rPr>
      <w:rFonts w:ascii="Times New Roman" w:hAnsi="Times New Roman" w:cs="Times New Roman"/>
      <w:sz w:val="24"/>
      <w:szCs w:val="24"/>
      <w:lang w:eastAsia="it-IT" w:bidi="ar-SA"/>
    </w:rPr>
  </w:style>
  <w:style w:type="paragraph" w:customStyle="1" w:styleId="Titolosommario1">
    <w:name w:val="Titolo sommario1"/>
    <w:basedOn w:val="Titolo1"/>
    <w:uiPriority w:val="39"/>
    <w:unhideWhenUsed/>
    <w:qFormat/>
    <w:pPr>
      <w:numPr>
        <w:numId w:val="0"/>
      </w:numPr>
      <w:suppressAutoHyphens w:val="0"/>
      <w:spacing w:line="276" w:lineRule="auto"/>
      <w:jc w:val="left"/>
    </w:pPr>
    <w:rPr>
      <w:rFonts w:cs="Times New Roman"/>
      <w:bCs/>
      <w:smallCaps w:val="0"/>
      <w:color w:val="365F91"/>
      <w:sz w:val="28"/>
      <w:szCs w:val="28"/>
      <w:lang w:eastAsia="it-IT" w:bidi="ar-SA"/>
    </w:rPr>
  </w:style>
  <w:style w:type="paragraph" w:customStyle="1" w:styleId="Testonormale1">
    <w:name w:val="Testo normale1"/>
    <w:basedOn w:val="Normale"/>
    <w:qFormat/>
    <w:pPr>
      <w:spacing w:before="0" w:after="200" w:line="276" w:lineRule="auto"/>
    </w:pPr>
    <w:rPr>
      <w:rFonts w:ascii="Courier New" w:eastAsia="Calibri" w:hAnsi="Courier New" w:cs="Courier New"/>
      <w:sz w:val="20"/>
      <w:szCs w:val="22"/>
      <w:lang w:eastAsia="ar-SA" w:bidi="ar-SA"/>
    </w:rPr>
  </w:style>
  <w:style w:type="paragraph" w:customStyle="1" w:styleId="Textbody">
    <w:name w:val="Text body"/>
    <w:basedOn w:val="Standard"/>
    <w:qFormat/>
    <w:pPr>
      <w:jc w:val="center"/>
    </w:pPr>
    <w:rPr>
      <w:rFonts w:ascii="Times New Roman" w:eastAsia="Times New Roman" w:hAnsi="Times New Roman" w:cs="Times New Roman"/>
      <w:b/>
      <w:bCs/>
      <w:sz w:val="40"/>
      <w:szCs w:val="24"/>
    </w:rPr>
  </w:style>
  <w:style w:type="paragraph" w:customStyle="1" w:styleId="Titolo11">
    <w:name w:val="Titolo 11"/>
    <w:qFormat/>
    <w:pPr>
      <w:outlineLvl w:val="0"/>
    </w:pPr>
    <w:rPr>
      <w:rFonts w:eastAsia="ヒラギノ角ゴ Pro W3"/>
      <w:color w:val="000000"/>
      <w:sz w:val="22"/>
    </w:rPr>
  </w:style>
  <w:style w:type="paragraph" w:customStyle="1" w:styleId="Titolo31">
    <w:name w:val="Titolo 31"/>
    <w:qFormat/>
    <w:pPr>
      <w:outlineLvl w:val="2"/>
    </w:pPr>
    <w:rPr>
      <w:rFonts w:eastAsia="ヒラギノ角ゴ Pro W3"/>
      <w:color w:val="000000"/>
      <w:sz w:val="22"/>
    </w:rPr>
  </w:style>
  <w:style w:type="paragraph" w:customStyle="1" w:styleId="ModulovuotoA">
    <w:name w:val="Modulo vuoto A"/>
    <w:qFormat/>
    <w:rPr>
      <w:rFonts w:ascii="Calibri" w:eastAsia="ヒラギノ角ゴ Pro W3" w:hAnsi="Calibri"/>
      <w:color w:val="000000"/>
      <w:sz w:val="22"/>
    </w:rPr>
  </w:style>
  <w:style w:type="paragraph" w:customStyle="1" w:styleId="Pidipagina1">
    <w:name w:val="Piè di pagina1"/>
    <w:qFormat/>
    <w:pPr>
      <w:tabs>
        <w:tab w:val="center" w:pos="4819"/>
        <w:tab w:val="right" w:pos="9638"/>
      </w:tabs>
      <w:spacing w:after="200" w:line="276" w:lineRule="auto"/>
    </w:pPr>
    <w:rPr>
      <w:rFonts w:ascii="Calibri" w:eastAsia="ヒラギノ角ゴ Pro W3" w:hAnsi="Calibri"/>
      <w:color w:val="000000"/>
      <w:sz w:val="22"/>
    </w:rPr>
  </w:style>
  <w:style w:type="paragraph" w:customStyle="1" w:styleId="Sommario11">
    <w:name w:val="Sommario 11"/>
    <w:qFormat/>
    <w:pPr>
      <w:spacing w:before="120" w:line="276" w:lineRule="auto"/>
    </w:pPr>
    <w:rPr>
      <w:rFonts w:ascii="Calibri Bold" w:eastAsia="ヒラギノ角ゴ Pro W3" w:hAnsi="Calibri Bold"/>
      <w:color w:val="110E76"/>
      <w:sz w:val="24"/>
    </w:rPr>
  </w:style>
  <w:style w:type="paragraph" w:customStyle="1" w:styleId="Normale1">
    <w:name w:val="Normale1"/>
    <w:uiPriority w:val="99"/>
    <w:qFormat/>
    <w:pPr>
      <w:spacing w:after="200" w:line="276" w:lineRule="auto"/>
    </w:pPr>
    <w:rPr>
      <w:rFonts w:ascii="Calibri" w:eastAsia="ヒラギノ角ゴ Pro W3" w:hAnsi="Calibri"/>
      <w:color w:val="000000"/>
      <w:sz w:val="22"/>
    </w:rPr>
  </w:style>
  <w:style w:type="paragraph" w:customStyle="1" w:styleId="Normale3">
    <w:name w:val="Normale3"/>
    <w:qFormat/>
    <w:rPr>
      <w:rFonts w:eastAsia="ヒラギノ角ゴ Pro W3"/>
      <w:color w:val="000000"/>
      <w:sz w:val="24"/>
      <w:lang w:val="en-US"/>
    </w:rPr>
  </w:style>
  <w:style w:type="paragraph" w:customStyle="1" w:styleId="Sommario12">
    <w:name w:val="Sommario 12"/>
    <w:qFormat/>
    <w:pPr>
      <w:tabs>
        <w:tab w:val="right" w:leader="dot" w:pos="9632"/>
      </w:tabs>
      <w:spacing w:before="240"/>
      <w:ind w:left="720"/>
      <w:outlineLvl w:val="0"/>
    </w:pPr>
    <w:rPr>
      <w:rFonts w:ascii="Helvetica" w:eastAsia="ヒラギノ角ゴ Pro W3" w:hAnsi="Helvetica"/>
      <w:b/>
      <w:i/>
      <w:color w:val="000000"/>
      <w:sz w:val="24"/>
    </w:rPr>
  </w:style>
  <w:style w:type="paragraph" w:customStyle="1" w:styleId="Sommario21">
    <w:name w:val="Sommario 21"/>
    <w:qFormat/>
    <w:pPr>
      <w:tabs>
        <w:tab w:val="right" w:leader="dot" w:pos="9632"/>
      </w:tabs>
      <w:suppressAutoHyphens/>
      <w:spacing w:before="240" w:after="60"/>
      <w:ind w:left="360"/>
      <w:outlineLvl w:val="0"/>
    </w:pPr>
    <w:rPr>
      <w:rFonts w:ascii="Helvetica" w:eastAsia="ヒラギノ角ゴ Pro W3" w:hAnsi="Helvetica"/>
      <w:b/>
      <w:color w:val="000000"/>
      <w:sz w:val="28"/>
    </w:rPr>
  </w:style>
  <w:style w:type="paragraph" w:customStyle="1" w:styleId="Sommario31">
    <w:name w:val="Sommario 31"/>
    <w:qFormat/>
    <w:pPr>
      <w:tabs>
        <w:tab w:val="right" w:leader="dot" w:pos="9632"/>
      </w:tabs>
      <w:suppressAutoHyphens/>
      <w:spacing w:before="240"/>
      <w:ind w:left="720"/>
      <w:outlineLvl w:val="0"/>
    </w:pPr>
    <w:rPr>
      <w:rFonts w:ascii="Helvetica" w:eastAsia="ヒラギノ角ゴ Pro W3" w:hAnsi="Helvetica"/>
      <w:b/>
      <w:i/>
      <w:color w:val="000000"/>
      <w:sz w:val="24"/>
    </w:rPr>
  </w:style>
  <w:style w:type="paragraph" w:customStyle="1" w:styleId="Sommario41">
    <w:name w:val="Sommario 41"/>
    <w:qFormat/>
    <w:pPr>
      <w:tabs>
        <w:tab w:val="right" w:leader="dot" w:pos="9632"/>
      </w:tabs>
      <w:suppressAutoHyphens/>
      <w:spacing w:before="240"/>
      <w:ind w:left="720"/>
      <w:outlineLvl w:val="0"/>
    </w:pPr>
    <w:rPr>
      <w:rFonts w:ascii="Helvetica" w:eastAsia="ヒラギノ角ゴ Pro W3" w:hAnsi="Helvetica"/>
      <w:b/>
      <w:i/>
      <w:color w:val="000000"/>
      <w:sz w:val="24"/>
    </w:rPr>
  </w:style>
  <w:style w:type="paragraph" w:customStyle="1" w:styleId="Sommario51">
    <w:name w:val="Sommario 51"/>
    <w:basedOn w:val="Sommario41"/>
    <w:qFormat/>
    <w:pPr>
      <w:spacing w:line="165" w:lineRule="auto"/>
    </w:pPr>
    <w:rPr>
      <w:rFonts w:ascii="Calibri Bold Italic" w:hAnsi="Calibri Bold Italic"/>
      <w:b w:val="0"/>
      <w:i w:val="0"/>
      <w:color w:val="2B5DCD"/>
    </w:rPr>
  </w:style>
  <w:style w:type="paragraph" w:customStyle="1" w:styleId="Sommario61">
    <w:name w:val="Sommario 61"/>
    <w:qFormat/>
    <w:pPr>
      <w:tabs>
        <w:tab w:val="right" w:leader="dot" w:pos="9632"/>
      </w:tabs>
      <w:spacing w:before="240" w:after="60"/>
      <w:ind w:left="360"/>
      <w:outlineLvl w:val="0"/>
    </w:pPr>
    <w:rPr>
      <w:rFonts w:ascii="Helvetica" w:eastAsia="ヒラギノ角ゴ Pro W3" w:hAnsi="Helvetica"/>
      <w:b/>
      <w:color w:val="000000"/>
      <w:sz w:val="28"/>
    </w:rPr>
  </w:style>
  <w:style w:type="paragraph" w:customStyle="1" w:styleId="Sommario71">
    <w:name w:val="Sommario 71"/>
    <w:basedOn w:val="Sommario21"/>
    <w:qFormat/>
    <w:pPr>
      <w:spacing w:line="165" w:lineRule="auto"/>
    </w:pPr>
    <w:rPr>
      <w:rFonts w:ascii="Calibri Bold" w:hAnsi="Calibri Bold"/>
      <w:b w:val="0"/>
      <w:color w:val="2B5DCD"/>
    </w:rPr>
  </w:style>
  <w:style w:type="paragraph" w:customStyle="1" w:styleId="Sommario81">
    <w:name w:val="Sommario 81"/>
    <w:qFormat/>
    <w:pPr>
      <w:tabs>
        <w:tab w:val="right" w:leader="dot" w:pos="9632"/>
      </w:tabs>
      <w:spacing w:before="240" w:after="60"/>
      <w:outlineLvl w:val="0"/>
    </w:pPr>
    <w:rPr>
      <w:rFonts w:ascii="Helvetica" w:eastAsia="ヒラギノ角ゴ Pro W3" w:hAnsi="Helvetica"/>
      <w:b/>
      <w:color w:val="000000"/>
      <w:sz w:val="36"/>
    </w:rPr>
  </w:style>
  <w:style w:type="paragraph" w:customStyle="1" w:styleId="Sommario91">
    <w:name w:val="Sommario 91"/>
    <w:basedOn w:val="Sommario31"/>
    <w:qFormat/>
    <w:pPr>
      <w:spacing w:line="165" w:lineRule="auto"/>
    </w:pPr>
    <w:rPr>
      <w:rFonts w:ascii="Calibri Bold Italic" w:hAnsi="Calibri Bold Italic"/>
      <w:b w:val="0"/>
      <w:i w:val="0"/>
      <w:color w:val="2B5DCD"/>
    </w:rPr>
  </w:style>
  <w:style w:type="paragraph" w:customStyle="1" w:styleId="Titolo20">
    <w:name w:val="Titolo2"/>
    <w:qFormat/>
    <w:pPr>
      <w:keepNext/>
      <w:outlineLvl w:val="0"/>
    </w:pPr>
    <w:rPr>
      <w:rFonts w:ascii="Helvetica" w:eastAsia="ヒラギノ角ゴ Pro W3" w:hAnsi="Helvetica"/>
      <w:b/>
      <w:color w:val="000000"/>
      <w:sz w:val="56"/>
    </w:rPr>
  </w:style>
  <w:style w:type="paragraph" w:customStyle="1" w:styleId="Corpo">
    <w:name w:val="Corpo"/>
    <w:qFormat/>
    <w:pPr>
      <w:spacing w:after="200" w:line="276" w:lineRule="auto"/>
    </w:pPr>
    <w:rPr>
      <w:rFonts w:ascii="Calibri" w:eastAsia="ヒラギノ角ゴ Pro W3" w:hAnsi="Calibri"/>
      <w:color w:val="000000"/>
      <w:sz w:val="22"/>
    </w:rPr>
  </w:style>
  <w:style w:type="paragraph" w:customStyle="1" w:styleId="Intestazione10">
    <w:name w:val="Intestazione 1"/>
    <w:next w:val="Corpo"/>
    <w:qFormat/>
    <w:pPr>
      <w:keepNext/>
      <w:outlineLvl w:val="0"/>
    </w:pPr>
    <w:rPr>
      <w:rFonts w:ascii="Helvetica" w:eastAsia="ヒラギノ角ゴ Pro W3" w:hAnsi="Helvetica"/>
      <w:b/>
      <w:color w:val="000000"/>
      <w:sz w:val="36"/>
    </w:rPr>
  </w:style>
  <w:style w:type="paragraph" w:customStyle="1" w:styleId="Titolo21">
    <w:name w:val="Titolo 21"/>
    <w:next w:val="Normale1"/>
    <w:qFormat/>
    <w:pPr>
      <w:keepNext/>
      <w:keepLines/>
      <w:spacing w:before="200" w:line="276" w:lineRule="auto"/>
      <w:outlineLvl w:val="1"/>
    </w:pPr>
    <w:rPr>
      <w:rFonts w:ascii="Cambria Bold" w:eastAsia="ヒラギノ角ゴ Pro W3" w:hAnsi="Cambria Bold"/>
      <w:color w:val="101250"/>
      <w:sz w:val="26"/>
    </w:rPr>
  </w:style>
  <w:style w:type="paragraph" w:customStyle="1" w:styleId="Intestazione1A">
    <w:name w:val="Intestazione 1 A"/>
    <w:qFormat/>
    <w:pPr>
      <w:keepNext/>
      <w:outlineLvl w:val="0"/>
    </w:pPr>
    <w:rPr>
      <w:rFonts w:ascii="Helvetica" w:eastAsia="ヒラギノ角ゴ Pro W3" w:hAnsi="Helvetica"/>
      <w:b/>
      <w:color w:val="000000"/>
      <w:sz w:val="36"/>
    </w:rPr>
  </w:style>
  <w:style w:type="paragraph" w:customStyle="1" w:styleId="TOC4Para">
    <w:name w:val="TOC 4 Para"/>
    <w:qFormat/>
    <w:pPr>
      <w:tabs>
        <w:tab w:val="right" w:leader="dot" w:pos="9632"/>
      </w:tabs>
      <w:suppressAutoHyphens/>
      <w:spacing w:before="240" w:after="60"/>
      <w:ind w:left="360"/>
      <w:outlineLvl w:val="0"/>
    </w:pPr>
    <w:rPr>
      <w:rFonts w:ascii="Helvetica" w:eastAsia="ヒラギノ角ゴ Pro W3" w:hAnsi="Helvetica"/>
      <w:b/>
      <w:color w:val="000000"/>
      <w:sz w:val="28"/>
    </w:rPr>
  </w:style>
  <w:style w:type="paragraph" w:customStyle="1" w:styleId="TOC7Para">
    <w:name w:val="TOC 7 Para"/>
    <w:qFormat/>
    <w:pPr>
      <w:tabs>
        <w:tab w:val="right" w:leader="dot" w:pos="9632"/>
      </w:tabs>
      <w:spacing w:before="240" w:after="60"/>
      <w:ind w:left="360"/>
      <w:outlineLvl w:val="0"/>
    </w:pPr>
    <w:rPr>
      <w:rFonts w:ascii="Helvetica" w:eastAsia="ヒラギノ角ゴ Pro W3" w:hAnsi="Helvetica"/>
      <w:b/>
      <w:color w:val="000000"/>
      <w:sz w:val="28"/>
    </w:rPr>
  </w:style>
  <w:style w:type="paragraph" w:customStyle="1" w:styleId="TitoloA">
    <w:name w:val="Titolo A"/>
    <w:qFormat/>
    <w:pPr>
      <w:keepNext/>
      <w:outlineLvl w:val="0"/>
    </w:pPr>
    <w:rPr>
      <w:rFonts w:ascii="Helvetica" w:eastAsia="ヒラギノ角ゴ Pro W3" w:hAnsi="Helvetica"/>
      <w:b/>
      <w:color w:val="000000"/>
      <w:sz w:val="56"/>
    </w:rPr>
  </w:style>
  <w:style w:type="paragraph" w:customStyle="1" w:styleId="TOC10">
    <w:name w:val="TOC 10"/>
    <w:qFormat/>
    <w:pPr>
      <w:tabs>
        <w:tab w:val="right" w:leader="dot" w:pos="9632"/>
      </w:tabs>
      <w:suppressAutoHyphens/>
      <w:spacing w:before="240" w:after="60"/>
      <w:ind w:left="360"/>
      <w:outlineLvl w:val="0"/>
    </w:pPr>
    <w:rPr>
      <w:rFonts w:ascii="Helvetica" w:eastAsia="ヒラギノ角ゴ Pro W3" w:hAnsi="Helvetica"/>
      <w:b/>
      <w:color w:val="000000"/>
      <w:sz w:val="28"/>
    </w:rPr>
  </w:style>
  <w:style w:type="paragraph" w:customStyle="1" w:styleId="Intestazione1AAA">
    <w:name w:val="Intestazione 1 A A A"/>
    <w:qFormat/>
    <w:pPr>
      <w:keepNext/>
      <w:outlineLvl w:val="0"/>
    </w:pPr>
    <w:rPr>
      <w:rFonts w:ascii="Helvetica" w:eastAsia="ヒラギノ角ゴ Pro W3" w:hAnsi="Helvetica"/>
      <w:b/>
      <w:color w:val="000000"/>
      <w:sz w:val="36"/>
    </w:rPr>
  </w:style>
  <w:style w:type="paragraph" w:customStyle="1" w:styleId="TOC9Para">
    <w:name w:val="TOC 9 Para"/>
    <w:qFormat/>
    <w:pPr>
      <w:tabs>
        <w:tab w:val="right" w:leader="dot" w:pos="9632"/>
      </w:tabs>
      <w:suppressAutoHyphens/>
      <w:spacing w:before="240" w:after="60"/>
      <w:outlineLvl w:val="0"/>
    </w:pPr>
    <w:rPr>
      <w:rFonts w:ascii="Helvetica" w:eastAsia="ヒラギノ角ゴ Pro W3" w:hAnsi="Helvetica"/>
      <w:b/>
      <w:color w:val="000000"/>
      <w:sz w:val="36"/>
    </w:rPr>
  </w:style>
  <w:style w:type="paragraph" w:customStyle="1" w:styleId="TOC5Para">
    <w:name w:val="TOC 5 Para"/>
    <w:qFormat/>
    <w:pPr>
      <w:tabs>
        <w:tab w:val="right" w:leader="dot" w:pos="9632"/>
      </w:tabs>
      <w:suppressAutoHyphens/>
      <w:spacing w:before="240"/>
      <w:ind w:left="720"/>
      <w:outlineLvl w:val="0"/>
    </w:pPr>
    <w:rPr>
      <w:rFonts w:ascii="Helvetica" w:eastAsia="ヒラギノ角ゴ Pro W3" w:hAnsi="Helvetica"/>
      <w:b/>
      <w:i/>
      <w:color w:val="000000"/>
      <w:sz w:val="24"/>
    </w:rPr>
  </w:style>
  <w:style w:type="paragraph" w:customStyle="1" w:styleId="TitoloB">
    <w:name w:val="Titolo B"/>
    <w:qFormat/>
    <w:pPr>
      <w:keepNext/>
      <w:outlineLvl w:val="0"/>
    </w:pPr>
    <w:rPr>
      <w:rFonts w:ascii="Helvetica" w:eastAsia="ヒラギノ角ゴ Pro W3" w:hAnsi="Helvetica"/>
      <w:b/>
      <w:color w:val="000000"/>
      <w:sz w:val="56"/>
    </w:rPr>
  </w:style>
  <w:style w:type="paragraph" w:customStyle="1" w:styleId="TOC1Para">
    <w:name w:val="TOC 1 Para"/>
    <w:qFormat/>
    <w:pPr>
      <w:tabs>
        <w:tab w:val="right" w:leader="dot" w:pos="9632"/>
      </w:tabs>
      <w:spacing w:before="240"/>
      <w:ind w:left="720"/>
      <w:outlineLvl w:val="0"/>
    </w:pPr>
    <w:rPr>
      <w:rFonts w:ascii="Helvetica" w:eastAsia="ヒラギノ角ゴ Pro W3" w:hAnsi="Helvetica"/>
      <w:b/>
      <w:i/>
      <w:color w:val="000000"/>
      <w:sz w:val="24"/>
    </w:rPr>
  </w:style>
  <w:style w:type="paragraph" w:customStyle="1" w:styleId="Intestazione1B">
    <w:name w:val="Intestazione 1 B"/>
    <w:qFormat/>
    <w:pPr>
      <w:keepNext/>
      <w:outlineLvl w:val="0"/>
    </w:pPr>
    <w:rPr>
      <w:rFonts w:ascii="Helvetica" w:eastAsia="ヒラギノ角ゴ Pro W3" w:hAnsi="Helvetica"/>
      <w:b/>
      <w:color w:val="000000"/>
      <w:sz w:val="36"/>
    </w:rPr>
  </w:style>
  <w:style w:type="paragraph" w:customStyle="1" w:styleId="TOC8Para">
    <w:name w:val="TOC 8 Para"/>
    <w:qFormat/>
    <w:pPr>
      <w:tabs>
        <w:tab w:val="right" w:leader="dot" w:pos="9632"/>
      </w:tabs>
      <w:spacing w:before="240" w:after="60"/>
      <w:ind w:left="360"/>
      <w:outlineLvl w:val="0"/>
    </w:pPr>
    <w:rPr>
      <w:rFonts w:ascii="Helvetica" w:eastAsia="ヒラギノ角ゴ Pro W3" w:hAnsi="Helvetica"/>
      <w:b/>
      <w:color w:val="000000"/>
      <w:sz w:val="28"/>
    </w:rPr>
  </w:style>
  <w:style w:type="paragraph" w:customStyle="1" w:styleId="Titolo10">
    <w:name w:val="Titolo1"/>
    <w:qFormat/>
    <w:pPr>
      <w:keepNext/>
      <w:outlineLvl w:val="0"/>
    </w:pPr>
    <w:rPr>
      <w:rFonts w:ascii="Helvetica" w:eastAsia="ヒラギノ角ゴ Pro W3" w:hAnsi="Helvetica"/>
      <w:b/>
      <w:color w:val="000000"/>
      <w:sz w:val="56"/>
    </w:rPr>
  </w:style>
  <w:style w:type="paragraph" w:customStyle="1" w:styleId="TOC11">
    <w:name w:val="TOC 11"/>
    <w:qFormat/>
    <w:pPr>
      <w:tabs>
        <w:tab w:val="right" w:leader="dot" w:pos="9632"/>
      </w:tabs>
      <w:spacing w:before="240" w:after="60"/>
      <w:outlineLvl w:val="0"/>
    </w:pPr>
    <w:rPr>
      <w:rFonts w:ascii="Helvetica" w:eastAsia="ヒラギノ角ゴ Pro W3" w:hAnsi="Helvetica"/>
      <w:b/>
      <w:color w:val="000000"/>
      <w:sz w:val="36"/>
    </w:rPr>
  </w:style>
  <w:style w:type="paragraph" w:customStyle="1" w:styleId="Intestazione1AB">
    <w:name w:val="Intestazione 1 A B"/>
    <w:qFormat/>
    <w:pPr>
      <w:keepNext/>
      <w:outlineLvl w:val="0"/>
    </w:pPr>
    <w:rPr>
      <w:rFonts w:ascii="Helvetica" w:eastAsia="ヒラギノ角ゴ Pro W3" w:hAnsi="Helvetica"/>
      <w:b/>
      <w:color w:val="000000"/>
      <w:sz w:val="36"/>
    </w:rPr>
  </w:style>
  <w:style w:type="paragraph" w:customStyle="1" w:styleId="TOC6Para">
    <w:name w:val="TOC 6 Para"/>
    <w:qFormat/>
    <w:pPr>
      <w:tabs>
        <w:tab w:val="right" w:leader="dot" w:pos="9632"/>
      </w:tabs>
      <w:spacing w:before="240" w:after="60"/>
      <w:outlineLvl w:val="0"/>
    </w:pPr>
    <w:rPr>
      <w:rFonts w:ascii="Helvetica" w:eastAsia="ヒラギノ角ゴ Pro W3" w:hAnsi="Helvetica"/>
      <w:b/>
      <w:color w:val="000000"/>
      <w:sz w:val="36"/>
    </w:rPr>
  </w:style>
  <w:style w:type="paragraph" w:customStyle="1" w:styleId="Intestazione1AA">
    <w:name w:val="Intestazione 1 A A"/>
    <w:qFormat/>
    <w:pPr>
      <w:keepNext/>
      <w:outlineLvl w:val="0"/>
    </w:pPr>
    <w:rPr>
      <w:rFonts w:ascii="Helvetica" w:eastAsia="ヒラギノ角ゴ Pro W3" w:hAnsi="Helvetica"/>
      <w:b/>
      <w:color w:val="000000"/>
      <w:sz w:val="36"/>
    </w:rPr>
  </w:style>
  <w:style w:type="paragraph" w:customStyle="1" w:styleId="CorpoA">
    <w:name w:val="Corpo A"/>
    <w:qFormat/>
    <w:rPr>
      <w:rFonts w:ascii="Helvetica" w:eastAsia="ヒラギノ角ゴ Pro W3" w:hAnsi="Helvetica"/>
      <w:color w:val="000000"/>
      <w:sz w:val="24"/>
    </w:rPr>
  </w:style>
  <w:style w:type="paragraph" w:customStyle="1" w:styleId="Intestazione5">
    <w:name w:val="Intestazione 5"/>
    <w:next w:val="Corpo"/>
    <w:qFormat/>
    <w:pPr>
      <w:keepNext/>
      <w:outlineLvl w:val="4"/>
    </w:pPr>
    <w:rPr>
      <w:rFonts w:ascii="Helvetica" w:eastAsia="ヒラギノ角ゴ Pro W3" w:hAnsi="Helvetica"/>
      <w:b/>
      <w:color w:val="000000"/>
      <w:sz w:val="24"/>
    </w:rPr>
  </w:style>
  <w:style w:type="paragraph" w:customStyle="1" w:styleId="Intestazione9">
    <w:name w:val="Intestazione 9"/>
    <w:next w:val="Corpo"/>
    <w:qFormat/>
    <w:pPr>
      <w:keepNext/>
      <w:outlineLvl w:val="8"/>
    </w:pPr>
    <w:rPr>
      <w:rFonts w:ascii="Helvetica" w:eastAsia="ヒラギノ角ゴ Pro W3" w:hAnsi="Helvetica"/>
      <w:b/>
      <w:color w:val="000000"/>
      <w:sz w:val="24"/>
    </w:rPr>
  </w:style>
  <w:style w:type="paragraph" w:customStyle="1" w:styleId="Intestazione4">
    <w:name w:val="Intestazione 4"/>
    <w:next w:val="Corpo"/>
    <w:qFormat/>
    <w:pPr>
      <w:keepNext/>
      <w:outlineLvl w:val="3"/>
    </w:pPr>
    <w:rPr>
      <w:rFonts w:ascii="Helvetica" w:eastAsia="ヒラギノ角ゴ Pro W3" w:hAnsi="Helvetica"/>
      <w:b/>
      <w:color w:val="000000"/>
      <w:sz w:val="24"/>
    </w:rPr>
  </w:style>
  <w:style w:type="paragraph" w:customStyle="1" w:styleId="Intestazione8">
    <w:name w:val="Intestazione 8"/>
    <w:next w:val="Corpo"/>
    <w:qFormat/>
    <w:pPr>
      <w:keepNext/>
      <w:outlineLvl w:val="7"/>
    </w:pPr>
    <w:rPr>
      <w:rFonts w:ascii="Helvetica" w:eastAsia="ヒラギノ角ゴ Pro W3" w:hAnsi="Helvetica"/>
      <w:b/>
      <w:color w:val="000000"/>
      <w:sz w:val="24"/>
    </w:rPr>
  </w:style>
  <w:style w:type="paragraph" w:customStyle="1" w:styleId="Intestazione30">
    <w:name w:val="Intestazione 3"/>
    <w:next w:val="Corpo"/>
    <w:qFormat/>
    <w:pPr>
      <w:keepNext/>
      <w:outlineLvl w:val="2"/>
    </w:pPr>
    <w:rPr>
      <w:rFonts w:ascii="Helvetica" w:eastAsia="ヒラギノ角ゴ Pro W3" w:hAnsi="Helvetica"/>
      <w:b/>
      <w:color w:val="000000"/>
      <w:sz w:val="24"/>
    </w:rPr>
  </w:style>
  <w:style w:type="paragraph" w:customStyle="1" w:styleId="Intestazione20">
    <w:name w:val="Intestazione 2"/>
    <w:next w:val="Corpo"/>
    <w:qFormat/>
    <w:pPr>
      <w:keepNext/>
      <w:outlineLvl w:val="1"/>
    </w:pPr>
    <w:rPr>
      <w:rFonts w:ascii="Helvetica" w:eastAsia="ヒラギノ角ゴ Pro W3" w:hAnsi="Helvetica"/>
      <w:b/>
      <w:color w:val="000000"/>
      <w:sz w:val="24"/>
    </w:rPr>
  </w:style>
  <w:style w:type="paragraph" w:customStyle="1" w:styleId="Intestazione7">
    <w:name w:val="Intestazione 7"/>
    <w:next w:val="Corpo"/>
    <w:qFormat/>
    <w:pPr>
      <w:keepNext/>
      <w:outlineLvl w:val="6"/>
    </w:pPr>
    <w:rPr>
      <w:rFonts w:ascii="Helvetica" w:eastAsia="ヒラギノ角ゴ Pro W3" w:hAnsi="Helvetica"/>
      <w:b/>
      <w:color w:val="000000"/>
      <w:sz w:val="24"/>
    </w:rPr>
  </w:style>
  <w:style w:type="paragraph" w:customStyle="1" w:styleId="Intestazione6">
    <w:name w:val="Intestazione 6"/>
    <w:next w:val="Corpo"/>
    <w:qFormat/>
    <w:pPr>
      <w:keepNext/>
      <w:outlineLvl w:val="5"/>
    </w:pPr>
    <w:rPr>
      <w:rFonts w:ascii="Helvetica" w:eastAsia="ヒラギノ角ゴ Pro W3" w:hAnsi="Helvetica"/>
      <w:b/>
      <w:color w:val="000000"/>
      <w:sz w:val="24"/>
    </w:rPr>
  </w:style>
  <w:style w:type="paragraph" w:customStyle="1" w:styleId="Intestazione3AB">
    <w:name w:val="Intestazione 3 A B"/>
    <w:qFormat/>
    <w:pPr>
      <w:keepNext/>
      <w:outlineLvl w:val="2"/>
    </w:pPr>
    <w:rPr>
      <w:rFonts w:ascii="Helvetica" w:eastAsia="ヒラギノ角ゴ Pro W3" w:hAnsi="Helvetica"/>
      <w:b/>
      <w:color w:val="000000"/>
      <w:sz w:val="24"/>
    </w:rPr>
  </w:style>
  <w:style w:type="paragraph" w:customStyle="1" w:styleId="Intestazione3AA">
    <w:name w:val="Intestazione 3 A A"/>
    <w:qFormat/>
    <w:pPr>
      <w:keepNext/>
      <w:outlineLvl w:val="2"/>
    </w:pPr>
    <w:rPr>
      <w:rFonts w:ascii="Helvetica" w:eastAsia="ヒラギノ角ゴ Pro W3" w:hAnsi="Helvetica"/>
      <w:b/>
      <w:color w:val="000000"/>
      <w:sz w:val="24"/>
    </w:rPr>
  </w:style>
  <w:style w:type="paragraph" w:customStyle="1" w:styleId="Intestazione3A">
    <w:name w:val="Intestazione 3 A"/>
    <w:qFormat/>
    <w:pPr>
      <w:keepNext/>
      <w:outlineLvl w:val="2"/>
    </w:pPr>
    <w:rPr>
      <w:rFonts w:ascii="Helvetica" w:eastAsia="ヒラギノ角ゴ Pro W3" w:hAnsi="Helvetica"/>
      <w:b/>
      <w:color w:val="000000"/>
      <w:sz w:val="24"/>
    </w:rPr>
  </w:style>
  <w:style w:type="paragraph" w:customStyle="1" w:styleId="Intestazione3AAA">
    <w:name w:val="Intestazione 3 A A A"/>
    <w:qFormat/>
    <w:pPr>
      <w:keepNext/>
      <w:outlineLvl w:val="2"/>
    </w:pPr>
    <w:rPr>
      <w:rFonts w:ascii="Helvetica" w:eastAsia="ヒラギノ角ゴ Pro W3" w:hAnsi="Helvetica"/>
      <w:b/>
      <w:color w:val="000000"/>
      <w:sz w:val="24"/>
    </w:rPr>
  </w:style>
  <w:style w:type="paragraph" w:customStyle="1" w:styleId="Intestazione3AC">
    <w:name w:val="Intestazione 3 A C"/>
    <w:qFormat/>
    <w:pPr>
      <w:keepNext/>
      <w:outlineLvl w:val="2"/>
    </w:pPr>
    <w:rPr>
      <w:rFonts w:ascii="Helvetica" w:eastAsia="ヒラギノ角ゴ Pro W3" w:hAnsi="Helvetica"/>
      <w:b/>
      <w:color w:val="000000"/>
      <w:sz w:val="24"/>
    </w:rPr>
  </w:style>
  <w:style w:type="paragraph" w:customStyle="1" w:styleId="Intestazione2B">
    <w:name w:val="Intestazione 2 B"/>
    <w:qFormat/>
    <w:pPr>
      <w:keepNext/>
      <w:outlineLvl w:val="1"/>
    </w:pPr>
    <w:rPr>
      <w:rFonts w:ascii="Helvetica" w:eastAsia="ヒラギノ角ゴ Pro W3" w:hAnsi="Helvetica"/>
      <w:b/>
      <w:color w:val="000000"/>
      <w:sz w:val="24"/>
    </w:rPr>
  </w:style>
  <w:style w:type="paragraph" w:customStyle="1" w:styleId="Titolo22">
    <w:name w:val="Titolo 22"/>
    <w:next w:val="Normale3"/>
    <w:qFormat/>
    <w:pPr>
      <w:keepNext/>
      <w:keepLines/>
      <w:spacing w:before="200" w:line="276" w:lineRule="auto"/>
      <w:outlineLvl w:val="1"/>
    </w:pPr>
    <w:rPr>
      <w:rFonts w:ascii="Cambria Bold" w:eastAsia="ヒラギノ角ゴ Pro W3" w:hAnsi="Cambria Bold"/>
      <w:color w:val="101250"/>
      <w:sz w:val="26"/>
    </w:rPr>
  </w:style>
  <w:style w:type="paragraph" w:customStyle="1" w:styleId="Intestazione2A">
    <w:name w:val="Intestazione 2 A"/>
    <w:qFormat/>
    <w:pPr>
      <w:keepNext/>
      <w:outlineLvl w:val="1"/>
    </w:pPr>
    <w:rPr>
      <w:rFonts w:ascii="Helvetica" w:eastAsia="ヒラギノ角ゴ Pro W3" w:hAnsi="Helvetica"/>
      <w:b/>
      <w:color w:val="000000"/>
      <w:sz w:val="24"/>
    </w:rPr>
  </w:style>
  <w:style w:type="paragraph" w:customStyle="1" w:styleId="Intestazione2AA">
    <w:name w:val="Intestazione 2 A A"/>
    <w:qFormat/>
    <w:pPr>
      <w:keepNext/>
      <w:outlineLvl w:val="1"/>
    </w:pPr>
    <w:rPr>
      <w:rFonts w:ascii="Helvetica" w:eastAsia="ヒラギノ角ゴ Pro W3" w:hAnsi="Helvetica"/>
      <w:b/>
      <w:color w:val="000000"/>
      <w:sz w:val="24"/>
    </w:rPr>
  </w:style>
  <w:style w:type="paragraph" w:customStyle="1" w:styleId="Intestazione2AB">
    <w:name w:val="Intestazione 2 A B"/>
    <w:qFormat/>
    <w:pPr>
      <w:keepNext/>
      <w:outlineLvl w:val="1"/>
    </w:pPr>
    <w:rPr>
      <w:rFonts w:ascii="Helvetica" w:eastAsia="ヒラギノ角ゴ Pro W3" w:hAnsi="Helvetica"/>
      <w:b/>
      <w:color w:val="000000"/>
      <w:sz w:val="24"/>
    </w:rPr>
  </w:style>
  <w:style w:type="paragraph" w:customStyle="1" w:styleId="Modulovuoto">
    <w:name w:val="Modulo vuoto"/>
    <w:qFormat/>
    <w:rPr>
      <w:rFonts w:eastAsia="ヒラギノ角ゴ Pro W3"/>
      <w:color w:val="000000"/>
      <w:sz w:val="22"/>
    </w:rPr>
  </w:style>
  <w:style w:type="paragraph" w:customStyle="1" w:styleId="ModulovuotoB">
    <w:name w:val="Modulo vuoto B"/>
    <w:qFormat/>
    <w:rPr>
      <w:rFonts w:eastAsia="ヒラギノ角ゴ Pro W3"/>
      <w:color w:val="000000"/>
      <w:sz w:val="22"/>
    </w:rPr>
  </w:style>
  <w:style w:type="paragraph" w:customStyle="1" w:styleId="ModulovuotoBA">
    <w:name w:val="Modulo vuoto B A"/>
    <w:qFormat/>
    <w:rPr>
      <w:rFonts w:eastAsia="ヒラギノ角ゴ Pro W3"/>
      <w:color w:val="000000"/>
      <w:sz w:val="22"/>
    </w:rPr>
  </w:style>
  <w:style w:type="paragraph" w:customStyle="1" w:styleId="ModulovuotoBAA">
    <w:name w:val="Modulo vuoto B A A"/>
    <w:qFormat/>
    <w:rPr>
      <w:rFonts w:eastAsia="ヒラギノ角ゴ Pro W3"/>
      <w:color w:val="000000"/>
      <w:sz w:val="22"/>
    </w:rPr>
  </w:style>
  <w:style w:type="paragraph" w:customStyle="1" w:styleId="ModulovuotoBAAA">
    <w:name w:val="Modulo vuoto B A A A"/>
    <w:qFormat/>
    <w:rPr>
      <w:rFonts w:eastAsia="ヒラギノ角ゴ Pro W3"/>
      <w:color w:val="000000"/>
      <w:sz w:val="22"/>
    </w:rPr>
  </w:style>
  <w:style w:type="paragraph" w:customStyle="1" w:styleId="Normale2">
    <w:name w:val="Normale2"/>
    <w:qFormat/>
    <w:pPr>
      <w:suppressAutoHyphens/>
    </w:pPr>
    <w:rPr>
      <w:rFonts w:eastAsia="ヒラギノ角ゴ Pro W3"/>
      <w:color w:val="000000"/>
      <w:sz w:val="22"/>
    </w:rPr>
  </w:style>
  <w:style w:type="paragraph" w:customStyle="1" w:styleId="Titolo41">
    <w:name w:val="Titolo 41"/>
    <w:basedOn w:val="Normale"/>
    <w:uiPriority w:val="9"/>
    <w:unhideWhenUsed/>
    <w:qFormat/>
    <w:pPr>
      <w:keepNext/>
      <w:suppressAutoHyphens w:val="0"/>
      <w:spacing w:before="240" w:after="60"/>
      <w:outlineLvl w:val="3"/>
    </w:pPr>
    <w:rPr>
      <w:rFonts w:asciiTheme="minorHAnsi" w:hAnsiTheme="minorHAnsi" w:cstheme="minorBidi"/>
      <w:b/>
      <w:bCs/>
      <w:sz w:val="28"/>
      <w:szCs w:val="28"/>
      <w:lang w:eastAsia="it-IT" w:bidi="ar-SA"/>
    </w:rPr>
  </w:style>
  <w:style w:type="paragraph" w:customStyle="1" w:styleId="Titolo81">
    <w:name w:val="Titolo 81"/>
    <w:basedOn w:val="Normale"/>
    <w:unhideWhenUsed/>
    <w:qFormat/>
    <w:pPr>
      <w:keepNext/>
      <w:keepLines/>
      <w:suppressAutoHyphens w:val="0"/>
      <w:spacing w:before="200"/>
      <w:outlineLvl w:val="7"/>
    </w:pPr>
    <w:rPr>
      <w:rFonts w:ascii="Cambria" w:hAnsi="Cambria" w:cs="Times New Roman"/>
      <w:color w:val="404040"/>
      <w:sz w:val="20"/>
      <w:lang w:eastAsia="it-IT" w:bidi="ar-SA"/>
    </w:rPr>
  </w:style>
  <w:style w:type="paragraph" w:customStyle="1" w:styleId="Titolo91">
    <w:name w:val="Titolo 91"/>
    <w:basedOn w:val="Normale"/>
    <w:unhideWhenUsed/>
    <w:qFormat/>
    <w:pPr>
      <w:keepNext/>
      <w:keepLines/>
      <w:suppressAutoHyphens w:val="0"/>
      <w:spacing w:before="200"/>
      <w:outlineLvl w:val="8"/>
    </w:pPr>
    <w:rPr>
      <w:rFonts w:ascii="Cambria" w:hAnsi="Cambria" w:cs="Times New Roman"/>
      <w:i/>
      <w:iCs/>
      <w:color w:val="404040"/>
      <w:sz w:val="20"/>
      <w:lang w:eastAsia="it-IT" w:bidi="ar-SA"/>
    </w:rPr>
  </w:style>
  <w:style w:type="paragraph" w:customStyle="1" w:styleId="NormaleWeb1">
    <w:name w:val="Normale (Web)1"/>
    <w:basedOn w:val="Normale"/>
    <w:unhideWhenUsed/>
    <w:qFormat/>
    <w:pPr>
      <w:suppressAutoHyphens w:val="0"/>
      <w:spacing w:beforeAutospacing="1" w:afterAutospacing="1"/>
    </w:pPr>
    <w:rPr>
      <w:rFonts w:asciiTheme="minorHAnsi" w:eastAsiaTheme="minorHAnsi" w:hAnsiTheme="minorHAnsi" w:cstheme="minorBidi"/>
      <w:sz w:val="24"/>
      <w:szCs w:val="24"/>
      <w:lang w:eastAsia="en-US" w:bidi="ar-SA"/>
    </w:rPr>
  </w:style>
  <w:style w:type="paragraph" w:customStyle="1" w:styleId="Sommario32">
    <w:name w:val="Sommario 32"/>
    <w:basedOn w:val="Normale"/>
    <w:uiPriority w:val="39"/>
    <w:qFormat/>
    <w:pPr>
      <w:suppressAutoHyphens w:val="0"/>
      <w:spacing w:before="0"/>
      <w:ind w:left="200"/>
    </w:pPr>
    <w:rPr>
      <w:rFonts w:asciiTheme="minorHAnsi" w:hAnsiTheme="minorHAnsi"/>
      <w:sz w:val="20"/>
      <w:lang w:eastAsia="it-IT" w:bidi="ar-SA"/>
    </w:rPr>
  </w:style>
  <w:style w:type="paragraph" w:customStyle="1" w:styleId="Sommario42">
    <w:name w:val="Sommario 42"/>
    <w:basedOn w:val="Normale"/>
    <w:uiPriority w:val="39"/>
    <w:unhideWhenUsed/>
    <w:qFormat/>
    <w:pPr>
      <w:suppressAutoHyphens w:val="0"/>
      <w:spacing w:before="0"/>
      <w:ind w:left="400"/>
    </w:pPr>
    <w:rPr>
      <w:rFonts w:asciiTheme="minorHAnsi" w:hAnsiTheme="minorHAnsi"/>
      <w:sz w:val="20"/>
      <w:lang w:eastAsia="it-IT" w:bidi="ar-SA"/>
    </w:rPr>
  </w:style>
  <w:style w:type="paragraph" w:customStyle="1" w:styleId="Sommario52">
    <w:name w:val="Sommario 52"/>
    <w:basedOn w:val="Normale"/>
    <w:uiPriority w:val="39"/>
    <w:unhideWhenUsed/>
    <w:qFormat/>
    <w:pPr>
      <w:suppressAutoHyphens w:val="0"/>
      <w:spacing w:before="0"/>
      <w:ind w:left="600"/>
    </w:pPr>
    <w:rPr>
      <w:rFonts w:asciiTheme="minorHAnsi" w:hAnsiTheme="minorHAnsi"/>
      <w:sz w:val="20"/>
      <w:lang w:eastAsia="it-IT" w:bidi="ar-SA"/>
    </w:rPr>
  </w:style>
  <w:style w:type="paragraph" w:customStyle="1" w:styleId="Sommario62">
    <w:name w:val="Sommario 62"/>
    <w:basedOn w:val="Normale"/>
    <w:uiPriority w:val="39"/>
    <w:unhideWhenUsed/>
    <w:qFormat/>
    <w:pPr>
      <w:suppressAutoHyphens w:val="0"/>
      <w:spacing w:before="0"/>
      <w:ind w:left="800"/>
    </w:pPr>
    <w:rPr>
      <w:rFonts w:asciiTheme="minorHAnsi" w:hAnsiTheme="minorHAnsi"/>
      <w:sz w:val="20"/>
      <w:lang w:eastAsia="it-IT" w:bidi="ar-SA"/>
    </w:rPr>
  </w:style>
  <w:style w:type="paragraph" w:customStyle="1" w:styleId="Sommario72">
    <w:name w:val="Sommario 72"/>
    <w:basedOn w:val="Normale"/>
    <w:uiPriority w:val="39"/>
    <w:unhideWhenUsed/>
    <w:qFormat/>
    <w:pPr>
      <w:suppressAutoHyphens w:val="0"/>
      <w:spacing w:before="0"/>
      <w:ind w:left="1000"/>
    </w:pPr>
    <w:rPr>
      <w:rFonts w:asciiTheme="minorHAnsi" w:hAnsiTheme="minorHAnsi"/>
      <w:sz w:val="20"/>
      <w:lang w:eastAsia="it-IT" w:bidi="ar-SA"/>
    </w:rPr>
  </w:style>
  <w:style w:type="paragraph" w:customStyle="1" w:styleId="Sommario82">
    <w:name w:val="Sommario 82"/>
    <w:basedOn w:val="Normale"/>
    <w:uiPriority w:val="39"/>
    <w:unhideWhenUsed/>
    <w:qFormat/>
    <w:pPr>
      <w:suppressAutoHyphens w:val="0"/>
      <w:spacing w:before="0"/>
      <w:ind w:left="1200"/>
    </w:pPr>
    <w:rPr>
      <w:rFonts w:asciiTheme="minorHAnsi" w:hAnsiTheme="minorHAnsi"/>
      <w:sz w:val="20"/>
      <w:lang w:eastAsia="it-IT" w:bidi="ar-SA"/>
    </w:rPr>
  </w:style>
  <w:style w:type="paragraph" w:customStyle="1" w:styleId="Sommario92">
    <w:name w:val="Sommario 92"/>
    <w:basedOn w:val="Normale"/>
    <w:uiPriority w:val="39"/>
    <w:unhideWhenUsed/>
    <w:qFormat/>
    <w:pPr>
      <w:suppressAutoHyphens w:val="0"/>
      <w:spacing w:before="0"/>
      <w:ind w:left="1400"/>
    </w:pPr>
    <w:rPr>
      <w:rFonts w:asciiTheme="minorHAnsi" w:hAnsiTheme="minorHAnsi"/>
      <w:sz w:val="20"/>
      <w:lang w:eastAsia="it-IT" w:bidi="ar-SA"/>
    </w:rPr>
  </w:style>
  <w:style w:type="paragraph" w:customStyle="1" w:styleId="Testonotaapidipagina1">
    <w:name w:val="Testo nota a piè di pagina1"/>
    <w:basedOn w:val="Normale"/>
    <w:qFormat/>
    <w:pPr>
      <w:spacing w:before="0" w:line="100" w:lineRule="atLeast"/>
    </w:pPr>
    <w:rPr>
      <w:rFonts w:ascii="Times New Roman" w:hAnsi="Times New Roman" w:cs="Times New Roman"/>
      <w:sz w:val="20"/>
      <w:lang w:eastAsia="ar-SA" w:bidi="ar-SA"/>
    </w:rPr>
  </w:style>
  <w:style w:type="paragraph" w:customStyle="1" w:styleId="stile">
    <w:name w:val="stile"/>
    <w:basedOn w:val="Normale"/>
    <w:qFormat/>
    <w:pPr>
      <w:suppressAutoHyphens w:val="0"/>
      <w:spacing w:beforeAutospacing="1" w:afterAutospacing="1"/>
    </w:pPr>
    <w:rPr>
      <w:rFonts w:ascii="Times New Roman" w:hAnsi="Times New Roman" w:cs="Times New Roman"/>
      <w:sz w:val="24"/>
      <w:szCs w:val="24"/>
      <w:lang w:eastAsia="it-IT" w:bidi="ar-SA"/>
    </w:rPr>
  </w:style>
  <w:style w:type="paragraph" w:customStyle="1" w:styleId="western">
    <w:name w:val="western"/>
    <w:basedOn w:val="Normale"/>
    <w:qFormat/>
    <w:pPr>
      <w:spacing w:before="280" w:after="119" w:line="100" w:lineRule="atLeast"/>
    </w:pPr>
    <w:rPr>
      <w:rFonts w:ascii="Times New Roman" w:hAnsi="Times New Roman" w:cs="Times New Roman"/>
      <w:color w:val="000000"/>
      <w:sz w:val="20"/>
      <w:lang w:eastAsia="zh-CN" w:bidi="ar-SA"/>
    </w:rPr>
  </w:style>
  <w:style w:type="paragraph" w:customStyle="1" w:styleId="Paragrafoelenco20">
    <w:name w:val="Paragrafo elenco2"/>
    <w:basedOn w:val="Normale"/>
    <w:qFormat/>
    <w:pPr>
      <w:spacing w:before="0"/>
      <w:ind w:left="720"/>
      <w:contextualSpacing/>
    </w:pPr>
    <w:rPr>
      <w:rFonts w:ascii="Times New Roman" w:hAnsi="Times New Roman" w:cs="Times New Roman"/>
      <w:sz w:val="20"/>
      <w:lang w:eastAsia="zh-CN" w:bidi="ar-SA"/>
    </w:rPr>
  </w:style>
  <w:style w:type="paragraph" w:customStyle="1" w:styleId="Titolo80">
    <w:name w:val="Titolo8"/>
    <w:basedOn w:val="Normale"/>
    <w:qFormat/>
    <w:pPr>
      <w:keepNext/>
      <w:spacing w:before="240" w:after="120"/>
    </w:pPr>
    <w:rPr>
      <w:rFonts w:ascii="Arial" w:eastAsia="Microsoft YaHei" w:hAnsi="Arial" w:cs="Mangal"/>
      <w:sz w:val="28"/>
      <w:szCs w:val="28"/>
      <w:lang w:eastAsia="zh-CN" w:bidi="ar-SA"/>
    </w:rPr>
  </w:style>
  <w:style w:type="paragraph" w:customStyle="1" w:styleId="Titolo7">
    <w:name w:val="Titolo7"/>
    <w:basedOn w:val="Normale"/>
    <w:qFormat/>
    <w:pPr>
      <w:keepNext/>
      <w:spacing w:before="240" w:after="120"/>
    </w:pPr>
    <w:rPr>
      <w:rFonts w:ascii="Arial" w:eastAsia="Microsoft YaHei" w:hAnsi="Arial" w:cs="Mangal"/>
      <w:sz w:val="28"/>
      <w:szCs w:val="28"/>
      <w:lang w:eastAsia="zh-CN" w:bidi="ar-SA"/>
    </w:rPr>
  </w:style>
  <w:style w:type="paragraph" w:customStyle="1" w:styleId="Titolo60">
    <w:name w:val="Titolo6"/>
    <w:basedOn w:val="Normale"/>
    <w:qFormat/>
    <w:pPr>
      <w:keepNext/>
      <w:spacing w:before="240" w:after="120"/>
    </w:pPr>
    <w:rPr>
      <w:rFonts w:ascii="Liberation Sans" w:eastAsia="Microsoft YaHei" w:hAnsi="Liberation Sans" w:cs="Mangal"/>
      <w:sz w:val="28"/>
      <w:szCs w:val="28"/>
      <w:lang w:eastAsia="zh-CN" w:bidi="ar-SA"/>
    </w:rPr>
  </w:style>
  <w:style w:type="paragraph" w:customStyle="1" w:styleId="Titolo50">
    <w:name w:val="Titolo5"/>
    <w:basedOn w:val="Normale"/>
    <w:qFormat/>
    <w:pPr>
      <w:keepNext/>
      <w:spacing w:before="240" w:after="120"/>
    </w:pPr>
    <w:rPr>
      <w:rFonts w:ascii="Liberation Sans" w:eastAsia="Microsoft YaHei" w:hAnsi="Liberation Sans" w:cs="Mangal"/>
      <w:sz w:val="28"/>
      <w:szCs w:val="28"/>
      <w:lang w:eastAsia="zh-CN" w:bidi="ar-SA"/>
    </w:rPr>
  </w:style>
  <w:style w:type="paragraph" w:customStyle="1" w:styleId="Titolo40">
    <w:name w:val="Titolo4"/>
    <w:basedOn w:val="Normale"/>
    <w:qFormat/>
    <w:pPr>
      <w:spacing w:before="240" w:after="60"/>
      <w:jc w:val="center"/>
    </w:pPr>
    <w:rPr>
      <w:rFonts w:ascii="Cambria" w:eastAsia="SimSun" w:hAnsi="Cambria" w:cs="Cambria"/>
      <w:b/>
      <w:bCs/>
      <w:sz w:val="32"/>
      <w:szCs w:val="32"/>
      <w:lang w:eastAsia="zh-CN" w:bidi="ar-SA"/>
    </w:rPr>
  </w:style>
  <w:style w:type="paragraph" w:customStyle="1" w:styleId="Titolo30">
    <w:name w:val="Titolo3"/>
    <w:basedOn w:val="Normale"/>
    <w:qFormat/>
    <w:pPr>
      <w:keepNext/>
      <w:spacing w:before="240" w:after="120"/>
    </w:pPr>
    <w:rPr>
      <w:rFonts w:ascii="Liberation Sans" w:eastAsia="Microsoft YaHei" w:hAnsi="Liberation Sans" w:cs="Mangal"/>
      <w:sz w:val="28"/>
      <w:szCs w:val="28"/>
      <w:lang w:eastAsia="zh-CN" w:bidi="ar-SA"/>
    </w:rPr>
  </w:style>
  <w:style w:type="paragraph" w:customStyle="1" w:styleId="Corpodeltesto22">
    <w:name w:val="Corpo del testo 22"/>
    <w:basedOn w:val="Normale"/>
    <w:qFormat/>
    <w:pPr>
      <w:spacing w:before="0" w:after="120" w:line="480" w:lineRule="auto"/>
    </w:pPr>
    <w:rPr>
      <w:rFonts w:ascii="Times New Roman" w:eastAsia="SimSun" w:hAnsi="Times New Roman"/>
      <w:sz w:val="20"/>
      <w:lang w:eastAsia="zh-CN" w:bidi="ar-SA"/>
    </w:rPr>
  </w:style>
  <w:style w:type="paragraph" w:customStyle="1" w:styleId="Testocommento1">
    <w:name w:val="Testo commento1"/>
    <w:basedOn w:val="Normale"/>
    <w:qFormat/>
    <w:pPr>
      <w:spacing w:before="0"/>
    </w:pPr>
    <w:rPr>
      <w:rFonts w:ascii="Times New Roman" w:eastAsia="SimSun" w:hAnsi="Times New Roman"/>
      <w:sz w:val="20"/>
      <w:lang w:eastAsia="zh-CN" w:bidi="ar-SA"/>
    </w:rPr>
  </w:style>
  <w:style w:type="paragraph" w:customStyle="1" w:styleId="Testofumetto1">
    <w:name w:val="Testo fumetto1"/>
    <w:basedOn w:val="Normale"/>
    <w:qFormat/>
    <w:pPr>
      <w:spacing w:before="0"/>
    </w:pPr>
    <w:rPr>
      <w:rFonts w:ascii="Tahoma" w:eastAsia="Calibri" w:hAnsi="Tahoma" w:cs="Tahoma"/>
      <w:sz w:val="16"/>
      <w:szCs w:val="16"/>
      <w:lang w:eastAsia="zh-CN" w:bidi="ar-SA"/>
    </w:rPr>
  </w:style>
  <w:style w:type="paragraph" w:customStyle="1" w:styleId="NormaleWeb2">
    <w:name w:val="Normale (Web)2"/>
    <w:basedOn w:val="Normale"/>
    <w:qFormat/>
    <w:pPr>
      <w:spacing w:before="0" w:after="280"/>
    </w:pPr>
    <w:rPr>
      <w:rFonts w:eastAsia="Calibri"/>
      <w:sz w:val="24"/>
      <w:lang w:eastAsia="ja-JP" w:bidi="ar-SA"/>
    </w:rPr>
  </w:style>
  <w:style w:type="paragraph" w:customStyle="1" w:styleId="Nessunaspaziatura10">
    <w:name w:val="Nessuna spaziatura1"/>
    <w:qFormat/>
    <w:pPr>
      <w:suppressAutoHyphens/>
    </w:pPr>
    <w:rPr>
      <w:rFonts w:ascii="Calibri" w:eastAsia="Times New Roman" w:hAnsi="Calibri" w:cs="Calibri"/>
      <w:sz w:val="22"/>
      <w:szCs w:val="22"/>
      <w:lang w:eastAsia="zh-CN"/>
    </w:rPr>
  </w:style>
  <w:style w:type="paragraph" w:customStyle="1" w:styleId="Testonormale2">
    <w:name w:val="Testo normale2"/>
    <w:basedOn w:val="Normale"/>
    <w:qFormat/>
    <w:pPr>
      <w:spacing w:before="0"/>
    </w:pPr>
    <w:rPr>
      <w:rFonts w:ascii="Courier New" w:eastAsia="SimSun" w:hAnsi="Courier New" w:cs="Courier New"/>
      <w:sz w:val="20"/>
      <w:lang w:eastAsia="ja-JP" w:bidi="ar-SA"/>
    </w:rPr>
  </w:style>
  <w:style w:type="paragraph" w:customStyle="1" w:styleId="Soggettocommento2">
    <w:name w:val="Soggetto commento2"/>
    <w:basedOn w:val="Testocommento1"/>
    <w:qFormat/>
    <w:rPr>
      <w:rFonts w:ascii="Verdana" w:eastAsia="Calibri" w:hAnsi="Verdana" w:cs="Verdana"/>
      <w:b/>
      <w:bCs/>
    </w:rPr>
  </w:style>
  <w:style w:type="paragraph" w:customStyle="1" w:styleId="Titoloindicefonti1">
    <w:name w:val="Titolo indice fonti1"/>
    <w:basedOn w:val="Normale"/>
    <w:qFormat/>
    <w:pPr>
      <w:keepNext/>
      <w:suppressLineNumbers/>
      <w:spacing w:before="240" w:after="120"/>
      <w:jc w:val="center"/>
    </w:pPr>
    <w:rPr>
      <w:rFonts w:ascii="Liberation Sans" w:eastAsia="Microsoft YaHei" w:hAnsi="Liberation Sans" w:cs="Mangal"/>
      <w:b/>
      <w:bCs/>
      <w:sz w:val="32"/>
      <w:szCs w:val="32"/>
      <w:lang w:eastAsia="zh-CN" w:bidi="ar-SA"/>
    </w:rPr>
  </w:style>
  <w:style w:type="paragraph" w:customStyle="1" w:styleId="Iniziomodulo-z10">
    <w:name w:val="Inizio modulo -z1"/>
    <w:basedOn w:val="Normale"/>
    <w:qFormat/>
    <w:pPr>
      <w:pBdr>
        <w:bottom w:val="single" w:sz="6" w:space="1" w:color="000001"/>
      </w:pBdr>
      <w:spacing w:before="0"/>
      <w:jc w:val="center"/>
    </w:pPr>
    <w:rPr>
      <w:rFonts w:ascii="Arial" w:eastAsia="SimSun" w:hAnsi="Arial" w:cs="Arial"/>
      <w:vanish/>
      <w:sz w:val="16"/>
      <w:szCs w:val="16"/>
      <w:lang w:eastAsia="zh-CN"/>
    </w:rPr>
  </w:style>
  <w:style w:type="paragraph" w:customStyle="1" w:styleId="Finemodulo-z10">
    <w:name w:val="Fine modulo -z1"/>
    <w:basedOn w:val="Normale"/>
    <w:qFormat/>
    <w:pPr>
      <w:pBdr>
        <w:top w:val="single" w:sz="6" w:space="1" w:color="000001"/>
      </w:pBdr>
      <w:spacing w:before="0"/>
      <w:jc w:val="center"/>
    </w:pPr>
    <w:rPr>
      <w:rFonts w:ascii="Arial" w:eastAsia="SimSun" w:hAnsi="Arial" w:cs="Arial"/>
      <w:vanish/>
      <w:sz w:val="16"/>
      <w:szCs w:val="16"/>
      <w:lang w:eastAsia="zh-CN"/>
    </w:rPr>
  </w:style>
  <w:style w:type="paragraph" w:customStyle="1" w:styleId="Titoloindicefonti11">
    <w:name w:val="Titolo indice fonti11"/>
    <w:basedOn w:val="Titolo1"/>
    <w:qFormat/>
    <w:pPr>
      <w:numPr>
        <w:numId w:val="0"/>
      </w:numPr>
      <w:spacing w:line="276" w:lineRule="auto"/>
      <w:jc w:val="left"/>
    </w:pPr>
    <w:rPr>
      <w:rFonts w:eastAsia="SimSun"/>
      <w:bCs/>
      <w:smallCaps w:val="0"/>
      <w:color w:val="365F91"/>
      <w:sz w:val="28"/>
      <w:szCs w:val="28"/>
      <w:lang w:eastAsia="zh-CN" w:bidi="ar-SA"/>
    </w:rPr>
  </w:style>
  <w:style w:type="paragraph" w:customStyle="1" w:styleId="Mappadocumento1">
    <w:name w:val="Mappa documento1"/>
    <w:basedOn w:val="Normale"/>
    <w:qFormat/>
    <w:pPr>
      <w:spacing w:before="0"/>
    </w:pPr>
    <w:rPr>
      <w:rFonts w:ascii="Lucida Grande" w:eastAsia="Calibri" w:hAnsi="Lucida Grande" w:cs="Lucida Grande"/>
      <w:color w:val="000000"/>
      <w:sz w:val="24"/>
      <w:szCs w:val="24"/>
      <w:lang w:eastAsia="zh-CN" w:bidi="ar-SA"/>
    </w:rPr>
  </w:style>
  <w:style w:type="paragraph" w:customStyle="1" w:styleId="01Titolino01Capitolo">
    <w:name w:val="01_Titolino (01_Capitolo)"/>
    <w:basedOn w:val="Normale"/>
    <w:qFormat/>
    <w:pPr>
      <w:widowControl w:val="0"/>
      <w:spacing w:before="0" w:line="240" w:lineRule="atLeast"/>
      <w:textAlignment w:val="center"/>
    </w:pPr>
    <w:rPr>
      <w:rFonts w:ascii="Arial Black" w:hAnsi="Arial Black" w:cs="Times New Roman"/>
      <w:i/>
      <w:color w:val="000000"/>
      <w:sz w:val="20"/>
      <w:lang w:eastAsia="it-IT" w:bidi="ar-SA"/>
    </w:rPr>
  </w:style>
  <w:style w:type="paragraph" w:customStyle="1" w:styleId="TableParagraph">
    <w:name w:val="Table Paragraph"/>
    <w:basedOn w:val="Normale"/>
    <w:qFormat/>
    <w:pPr>
      <w:spacing w:before="0"/>
    </w:pPr>
    <w:rPr>
      <w:rFonts w:ascii="Arial" w:eastAsia="Arial" w:hAnsi="Arial" w:cs="Arial"/>
      <w:szCs w:val="22"/>
      <w:lang w:eastAsia="ar-SA" w:bidi="ar-SA"/>
    </w:rPr>
  </w:style>
  <w:style w:type="paragraph" w:customStyle="1" w:styleId="Notaapidipagina">
    <w:name w:val="Nota a piè di pagina"/>
    <w:basedOn w:val="Normale"/>
  </w:style>
  <w:style w:type="table" w:customStyle="1" w:styleId="Tabellasemplice-11">
    <w:name w:val="Tabella semplice - 11"/>
    <w:basedOn w:val="Tabellanormale"/>
    <w:uiPriority w:val="41"/>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gliachiara-Colore51">
    <w:name w:val="Griglia chiara - Colore 51"/>
    <w:basedOn w:val="Tabellanormale"/>
    <w:uiPriority w:val="62"/>
    <w:rPr>
      <w:sz w:val="22"/>
      <w:szCs w:val="22"/>
      <w:lang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Grigliatabella1">
    <w:name w:val="Griglia tabella1"/>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CC99"/>
    </w:tcPr>
  </w:style>
  <w:style w:type="table" w:customStyle="1" w:styleId="Grigliatabella2">
    <w:name w:val="Griglia tabella2"/>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medio1-Colore51">
    <w:name w:val="Elenco medio 1 - Colore 51"/>
    <w:basedOn w:val="Tabellanormale"/>
    <w:uiPriority w:val="65"/>
    <w:rPr>
      <w:color w:val="000000"/>
    </w:rPr>
    <w:tblPr>
      <w:tblBorders>
        <w:top w:val="single" w:sz="8" w:space="0" w:color="4BACC6"/>
        <w:bottom w:val="single" w:sz="8" w:space="0" w:color="4BACC6"/>
      </w:tblBorders>
    </w:tblPr>
    <w:tblStylePr w:type="firstRow">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Elencomedio2-Colore51">
    <w:name w:val="Elenco medio 2 - Colore 51"/>
    <w:basedOn w:val="Tabellanormale"/>
    <w:uiPriority w:val="66"/>
    <w:rPr>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Elencochiaro-Colore51">
    <w:name w:val="Elenco chiaro - Colore 51"/>
    <w:basedOn w:val="Tabellanormale"/>
    <w:uiPriority w:val="61"/>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fondomedio1-Colore51">
    <w:name w:val="Sfondo medio 1 - Colore 51"/>
    <w:basedOn w:val="Tabellanormale"/>
    <w:uiPriority w:val="63"/>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gliatabella4">
    <w:name w:val="Griglia tabella4"/>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pPr>
      <w:spacing w:line="1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99"/>
    <w:rsid w:val="00315DEF"/>
    <w:pPr>
      <w:ind w:left="720"/>
      <w:contextualSpacing/>
    </w:pPr>
    <w:rPr>
      <w:rFonts w:cs="Man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it-IT" w:eastAsia="it-IT"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locked="1" w:unhideWhenUsed="1" w:qFormat="1"/>
    <w:lsdException w:name="heading 6" w:locked="1" w:uiPriority="9" w:qFormat="1"/>
    <w:lsdException w:name="heading 7" w:locked="1" w:semiHidden="1" w:unhideWhenUsed="1" w:qFormat="1"/>
    <w:lsdException w:name="heading 8" w:locked="1" w:unhideWhenUsed="1" w:qFormat="1"/>
    <w:lsdException w:name="heading 9" w:locked="1" w:unhideWhenUsed="1" w:qFormat="1"/>
    <w:lsdException w:name="index 1" w:locked="1" w:uiPriority="39"/>
    <w:lsdException w:name="index 2" w:locked="1" w:uiPriority="39"/>
    <w:lsdException w:name="index 3" w:locked="1" w:uiPriority="39"/>
    <w:lsdException w:name="index 4" w:locked="1" w:uiPriority="39" w:unhideWhenUsed="1"/>
    <w:lsdException w:name="index 5" w:locked="1" w:uiPriority="39" w:unhideWhenUsed="1"/>
    <w:lsdException w:name="index 6" w:locked="1" w:uiPriority="39" w:unhideWhenUsed="1"/>
    <w:lsdException w:name="index 7" w:locked="1" w:uiPriority="39" w:unhideWhenUsed="1"/>
    <w:lsdException w:name="index 8" w:locked="1" w:uiPriority="39" w:unhideWhenUsed="1"/>
    <w:lsdException w:name="index 9" w:locked="1" w:uiPriority="39" w:unhideWhenUsed="1"/>
    <w:lsdException w:name="toc 1" w:locked="1" w:uiPriority="39" w:unhideWhenUsed="1"/>
    <w:lsdException w:name="toc 2" w:locked="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uiPriority="99" w:qFormat="1"/>
    <w:lsdException w:name="annotation text" w:uiPriority="99" w:qFormat="1"/>
    <w:lsdException w:name="footer" w:uiPriority="99" w:qFormat="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uiPriority="99" w:qFormat="1"/>
    <w:lsdException w:name="line number" w:semiHidden="1" w:unhideWhenUsed="1"/>
    <w:lsdException w:name="page number" w:qFormat="1"/>
    <w:lsdException w:name="endnote reference" w:qFormat="1"/>
    <w:lsdException w:name="endnote text" w:semiHidden="1" w:unhideWhenUsed="1"/>
    <w:lsdException w:name="table of authorities" w:semiHidden="1" w:unhideWhenUsed="1"/>
    <w:lsdException w:name="macro" w:semiHidden="1" w:unhideWhenUsed="1"/>
    <w:lsdException w:name="toa heading"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locked="1"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uiPriority="99"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locked="1" w:uiPriority="20"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qFormat="1"/>
    <w:lsdException w:name="Medium Shading 1 Accent 5" w:uiPriority="63" w:qFormat="1"/>
    <w:lsdException w:name="Medium Shading 2 Accent 5" w:uiPriority="64"/>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suppressAutoHyphens/>
      <w:spacing w:before="120"/>
    </w:pPr>
    <w:rPr>
      <w:rFonts w:ascii="Calibri" w:eastAsia="Times New Roman" w:hAnsi="Calibri" w:cs="Calibri"/>
      <w:sz w:val="22"/>
      <w:lang w:eastAsia="hi-IN" w:bidi="hi-IN"/>
    </w:rPr>
  </w:style>
  <w:style w:type="paragraph" w:styleId="Titolo1">
    <w:name w:val="heading 1"/>
    <w:basedOn w:val="Normale"/>
    <w:next w:val="Normale"/>
    <w:uiPriority w:val="9"/>
    <w:qFormat/>
    <w:pPr>
      <w:keepNext/>
      <w:keepLines/>
      <w:numPr>
        <w:numId w:val="1"/>
      </w:numPr>
      <w:spacing w:before="480"/>
      <w:jc w:val="center"/>
      <w:outlineLvl w:val="0"/>
    </w:pPr>
    <w:rPr>
      <w:rFonts w:ascii="Cambria" w:hAnsi="Cambria" w:cs="Cambria"/>
      <w:b/>
      <w:smallCaps/>
      <w:sz w:val="36"/>
    </w:rPr>
  </w:style>
  <w:style w:type="paragraph" w:styleId="Titolo2">
    <w:name w:val="heading 2"/>
    <w:basedOn w:val="Normale"/>
    <w:next w:val="Normale"/>
    <w:qFormat/>
    <w:pPr>
      <w:keepNext/>
      <w:keepLines/>
      <w:numPr>
        <w:ilvl w:val="1"/>
        <w:numId w:val="1"/>
      </w:numPr>
      <w:spacing w:before="360" w:after="240"/>
      <w:outlineLvl w:val="1"/>
    </w:pPr>
    <w:rPr>
      <w:rFonts w:ascii="Cambria" w:hAnsi="Cambria" w:cs="Cambria"/>
      <w:b/>
      <w:smallCaps/>
      <w:sz w:val="26"/>
    </w:rPr>
  </w:style>
  <w:style w:type="paragraph" w:styleId="Titolo3">
    <w:name w:val="heading 3"/>
    <w:basedOn w:val="Normale"/>
    <w:next w:val="Normale"/>
    <w:uiPriority w:val="9"/>
    <w:qFormat/>
    <w:pPr>
      <w:keepNext/>
      <w:keepLines/>
      <w:numPr>
        <w:ilvl w:val="2"/>
        <w:numId w:val="1"/>
      </w:numPr>
      <w:spacing w:before="240" w:after="120"/>
      <w:ind w:left="284" w:firstLine="0"/>
      <w:outlineLvl w:val="2"/>
    </w:pPr>
    <w:rPr>
      <w:rFonts w:ascii="Cambria" w:hAnsi="Cambria" w:cs="Cambria"/>
      <w:b/>
    </w:rPr>
  </w:style>
  <w:style w:type="paragraph" w:styleId="Titolo4">
    <w:name w:val="heading 4"/>
    <w:basedOn w:val="Normale"/>
    <w:next w:val="Normale"/>
    <w:uiPriority w:val="9"/>
    <w:qFormat/>
    <w:pPr>
      <w:keepNext/>
      <w:keepLines/>
      <w:numPr>
        <w:ilvl w:val="3"/>
        <w:numId w:val="1"/>
      </w:numPr>
      <w:spacing w:before="200"/>
      <w:outlineLvl w:val="3"/>
    </w:pPr>
    <w:rPr>
      <w:rFonts w:ascii="Cambria" w:hAnsi="Cambria" w:cs="Cambria"/>
      <w:b/>
      <w:i/>
    </w:rPr>
  </w:style>
  <w:style w:type="paragraph" w:styleId="Titolo5">
    <w:name w:val="heading 5"/>
    <w:basedOn w:val="Normale"/>
    <w:next w:val="Normale"/>
    <w:link w:val="Titolo5Carattere"/>
    <w:unhideWhenUsed/>
    <w:qFormat/>
    <w:locked/>
    <w:pPr>
      <w:keepNext/>
      <w:keepLines/>
      <w:suppressAutoHyphens w:val="0"/>
      <w:spacing w:before="200"/>
      <w:outlineLvl w:val="4"/>
    </w:pPr>
    <w:rPr>
      <w:rFonts w:ascii="Cambria" w:hAnsi="Cambria" w:cs="Times New Roman"/>
      <w:color w:val="243F60"/>
      <w:szCs w:val="22"/>
      <w:lang w:eastAsia="en-US" w:bidi="ar-SA"/>
    </w:rPr>
  </w:style>
  <w:style w:type="paragraph" w:styleId="Titolo6">
    <w:name w:val="heading 6"/>
    <w:basedOn w:val="Normale"/>
    <w:next w:val="Normale"/>
    <w:link w:val="Titolo6Carattere"/>
    <w:uiPriority w:val="9"/>
    <w:qFormat/>
    <w:locked/>
    <w:pPr>
      <w:suppressAutoHyphens w:val="0"/>
      <w:spacing w:before="240" w:after="60"/>
      <w:outlineLvl w:val="5"/>
    </w:pPr>
    <w:rPr>
      <w:rFonts w:ascii="Times New Roman" w:hAnsi="Times New Roman" w:cs="Times New Roman"/>
      <w:b/>
      <w:bCs/>
      <w:szCs w:val="22"/>
      <w:lang w:eastAsia="it-IT" w:bidi="ar-SA"/>
    </w:rPr>
  </w:style>
  <w:style w:type="paragraph" w:styleId="Titolo8">
    <w:name w:val="heading 8"/>
    <w:basedOn w:val="Normale"/>
    <w:next w:val="Normale"/>
    <w:link w:val="Titolo8Carattere"/>
    <w:unhideWhenUsed/>
    <w:qFormat/>
    <w:locked/>
    <w:pPr>
      <w:keepNext/>
      <w:keepLines/>
      <w:suppressAutoHyphens w:val="0"/>
      <w:spacing w:before="200"/>
      <w:outlineLvl w:val="7"/>
    </w:pPr>
    <w:rPr>
      <w:rFonts w:asciiTheme="majorHAnsi" w:eastAsiaTheme="majorEastAsia" w:hAnsiTheme="majorHAnsi" w:cstheme="majorBidi"/>
      <w:color w:val="404040" w:themeColor="text1" w:themeTint="BF"/>
      <w:sz w:val="20"/>
      <w:lang w:eastAsia="it-IT" w:bidi="ar-SA"/>
    </w:rPr>
  </w:style>
  <w:style w:type="paragraph" w:styleId="Titolo9">
    <w:name w:val="heading 9"/>
    <w:basedOn w:val="Normale"/>
    <w:next w:val="Normale"/>
    <w:link w:val="Titolo9Carattere"/>
    <w:unhideWhenUsed/>
    <w:qFormat/>
    <w:locked/>
    <w:pPr>
      <w:keepNext/>
      <w:keepLines/>
      <w:suppressAutoHyphens w:val="0"/>
      <w:spacing w:before="200"/>
      <w:outlineLvl w:val="8"/>
    </w:pPr>
    <w:rPr>
      <w:rFonts w:asciiTheme="majorHAnsi" w:eastAsiaTheme="majorEastAsia" w:hAnsiTheme="majorHAnsi" w:cstheme="majorBidi"/>
      <w:i/>
      <w:iCs/>
      <w:color w:val="404040" w:themeColor="text1" w:themeTint="BF"/>
      <w:sz w:val="20"/>
      <w:lang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uiPriority w:val="99"/>
    <w:qFormat/>
    <w:pPr>
      <w:spacing w:before="0"/>
    </w:pPr>
    <w:rPr>
      <w:rFonts w:ascii="Lucida Grande" w:hAnsi="Lucida Grande" w:cs="Lucida Grande"/>
      <w:sz w:val="18"/>
      <w:szCs w:val="18"/>
    </w:rPr>
  </w:style>
  <w:style w:type="paragraph" w:styleId="Corpodeltesto2">
    <w:name w:val="Body Text 2"/>
    <w:basedOn w:val="Normale"/>
    <w:link w:val="Corpodeltesto2Carattere"/>
    <w:uiPriority w:val="99"/>
    <w:qFormat/>
    <w:pPr>
      <w:suppressAutoHyphens w:val="0"/>
      <w:spacing w:before="0" w:after="120" w:line="480" w:lineRule="auto"/>
    </w:pPr>
    <w:rPr>
      <w:rFonts w:ascii="Times New Roman" w:hAnsi="Times New Roman" w:cs="Times New Roman"/>
      <w:sz w:val="20"/>
      <w:lang w:eastAsia="it-IT" w:bidi="ar-SA"/>
    </w:rPr>
  </w:style>
  <w:style w:type="paragraph" w:styleId="Didascalia">
    <w:name w:val="caption"/>
    <w:basedOn w:val="Normale"/>
    <w:next w:val="Normale"/>
    <w:uiPriority w:val="35"/>
    <w:qFormat/>
    <w:locked/>
    <w:pPr>
      <w:suppressAutoHyphens w:val="0"/>
      <w:spacing w:before="0"/>
    </w:pPr>
    <w:rPr>
      <w:rFonts w:ascii="Times New Roman" w:hAnsi="Times New Roman" w:cs="Times New Roman"/>
      <w:b/>
      <w:bCs/>
      <w:sz w:val="20"/>
      <w:lang w:eastAsia="it-IT" w:bidi="ar-SA"/>
    </w:rPr>
  </w:style>
  <w:style w:type="paragraph" w:styleId="Testocommento">
    <w:name w:val="annotation text"/>
    <w:basedOn w:val="Normale"/>
    <w:link w:val="TestocommentoCarattere"/>
    <w:uiPriority w:val="99"/>
    <w:qFormat/>
    <w:rPr>
      <w:rFonts w:cs="Mangal"/>
      <w:sz w:val="20"/>
      <w:szCs w:val="18"/>
    </w:rPr>
  </w:style>
  <w:style w:type="paragraph" w:styleId="Soggettocommento">
    <w:name w:val="annotation subject"/>
    <w:basedOn w:val="Testocommento"/>
    <w:next w:val="Testocommento"/>
    <w:link w:val="SoggettocommentoCarattere"/>
    <w:uiPriority w:val="99"/>
    <w:qFormat/>
    <w:rPr>
      <w:b/>
      <w:bCs/>
    </w:rPr>
  </w:style>
  <w:style w:type="paragraph" w:styleId="Mappadocumento">
    <w:name w:val="Document Map"/>
    <w:basedOn w:val="Normale"/>
    <w:link w:val="MappadocumentoCarattere"/>
    <w:qFormat/>
    <w:pPr>
      <w:suppressAutoHyphens w:val="0"/>
      <w:spacing w:before="0"/>
    </w:pPr>
    <w:rPr>
      <w:rFonts w:ascii="Lucida Grande" w:eastAsia="ヒラギノ角ゴ Pro W3" w:hAnsi="Lucida Grande" w:cs="Lucida Grande"/>
      <w:color w:val="000000"/>
      <w:sz w:val="24"/>
      <w:szCs w:val="24"/>
      <w:lang w:eastAsia="en-US" w:bidi="ar-SA"/>
    </w:rPr>
  </w:style>
  <w:style w:type="paragraph" w:styleId="Pidipagina">
    <w:name w:val="footer"/>
    <w:basedOn w:val="Normale"/>
    <w:uiPriority w:val="99"/>
    <w:qFormat/>
    <w:pPr>
      <w:suppressLineNumbers/>
      <w:tabs>
        <w:tab w:val="center" w:pos="4513"/>
        <w:tab w:val="right" w:pos="9026"/>
      </w:tabs>
      <w:spacing w:before="0"/>
    </w:pPr>
  </w:style>
  <w:style w:type="paragraph" w:styleId="Testonotaapidipagina">
    <w:name w:val="footnote text"/>
    <w:basedOn w:val="Normale"/>
    <w:link w:val="TestonotaapidipaginaCarattere"/>
    <w:uiPriority w:val="99"/>
    <w:qFormat/>
    <w:pPr>
      <w:spacing w:before="0"/>
    </w:pPr>
    <w:rPr>
      <w:rFonts w:cs="Mangal"/>
      <w:sz w:val="20"/>
      <w:szCs w:val="18"/>
    </w:rPr>
  </w:style>
  <w:style w:type="paragraph" w:styleId="Intestazione">
    <w:name w:val="header"/>
    <w:basedOn w:val="Normale"/>
    <w:link w:val="IntestazioneCarattere1"/>
    <w:pPr>
      <w:suppressLineNumbers/>
      <w:tabs>
        <w:tab w:val="center" w:pos="4513"/>
        <w:tab w:val="right" w:pos="9026"/>
      </w:tabs>
      <w:spacing w:before="0"/>
    </w:pPr>
  </w:style>
  <w:style w:type="paragraph" w:styleId="Indice1">
    <w:name w:val="index 1"/>
    <w:basedOn w:val="Normale"/>
    <w:next w:val="Normale"/>
    <w:uiPriority w:val="39"/>
    <w:locked/>
    <w:pPr>
      <w:suppressAutoHyphens w:val="0"/>
      <w:spacing w:before="360"/>
    </w:pPr>
    <w:rPr>
      <w:rFonts w:asciiTheme="majorHAnsi" w:hAnsiTheme="majorHAnsi" w:cs="Times New Roman"/>
      <w:bCs/>
      <w:sz w:val="24"/>
      <w:szCs w:val="24"/>
      <w:lang w:eastAsia="it-IT" w:bidi="ar-SA"/>
    </w:rPr>
  </w:style>
  <w:style w:type="paragraph" w:styleId="Indice2">
    <w:name w:val="index 2"/>
    <w:basedOn w:val="Normale"/>
    <w:next w:val="Normale"/>
    <w:uiPriority w:val="39"/>
    <w:locked/>
    <w:pPr>
      <w:suppressAutoHyphens w:val="0"/>
      <w:spacing w:before="240"/>
    </w:pPr>
    <w:rPr>
      <w:rFonts w:asciiTheme="minorHAnsi" w:hAnsiTheme="minorHAnsi" w:cstheme="minorHAnsi"/>
      <w:b/>
      <w:bCs/>
      <w:sz w:val="20"/>
      <w:lang w:eastAsia="it-IT" w:bidi="ar-SA"/>
    </w:rPr>
  </w:style>
  <w:style w:type="paragraph" w:styleId="Indice3">
    <w:name w:val="index 3"/>
    <w:basedOn w:val="Normale"/>
    <w:next w:val="Normale"/>
    <w:uiPriority w:val="39"/>
    <w:locked/>
    <w:pPr>
      <w:suppressAutoHyphens w:val="0"/>
      <w:spacing w:before="0"/>
      <w:ind w:left="200"/>
    </w:pPr>
    <w:rPr>
      <w:rFonts w:asciiTheme="minorHAnsi" w:hAnsiTheme="minorHAnsi" w:cstheme="minorHAnsi"/>
      <w:sz w:val="20"/>
      <w:lang w:eastAsia="it-IT" w:bidi="ar-SA"/>
    </w:rPr>
  </w:style>
  <w:style w:type="paragraph" w:styleId="Indice4">
    <w:name w:val="index 4"/>
    <w:basedOn w:val="Normale"/>
    <w:next w:val="Normale"/>
    <w:uiPriority w:val="39"/>
    <w:unhideWhenUsed/>
    <w:locked/>
    <w:pPr>
      <w:suppressAutoHyphens w:val="0"/>
      <w:spacing w:before="0"/>
      <w:ind w:left="400"/>
    </w:pPr>
    <w:rPr>
      <w:rFonts w:asciiTheme="minorHAnsi" w:hAnsiTheme="minorHAnsi" w:cstheme="minorHAnsi"/>
      <w:sz w:val="20"/>
      <w:lang w:eastAsia="it-IT" w:bidi="ar-SA"/>
    </w:rPr>
  </w:style>
  <w:style w:type="paragraph" w:styleId="Indice5">
    <w:name w:val="index 5"/>
    <w:basedOn w:val="Normale"/>
    <w:next w:val="Normale"/>
    <w:uiPriority w:val="39"/>
    <w:unhideWhenUsed/>
    <w:locked/>
    <w:pPr>
      <w:suppressAutoHyphens w:val="0"/>
      <w:spacing w:before="0"/>
      <w:ind w:left="600"/>
    </w:pPr>
    <w:rPr>
      <w:rFonts w:asciiTheme="minorHAnsi" w:hAnsiTheme="minorHAnsi" w:cstheme="minorHAnsi"/>
      <w:sz w:val="20"/>
      <w:lang w:eastAsia="it-IT" w:bidi="ar-SA"/>
    </w:rPr>
  </w:style>
  <w:style w:type="paragraph" w:styleId="Indice6">
    <w:name w:val="index 6"/>
    <w:basedOn w:val="Normale"/>
    <w:next w:val="Normale"/>
    <w:uiPriority w:val="39"/>
    <w:unhideWhenUsed/>
    <w:locked/>
    <w:pPr>
      <w:suppressAutoHyphens w:val="0"/>
      <w:spacing w:before="0"/>
      <w:ind w:left="800"/>
    </w:pPr>
    <w:rPr>
      <w:rFonts w:asciiTheme="minorHAnsi" w:hAnsiTheme="minorHAnsi" w:cstheme="minorHAnsi"/>
      <w:sz w:val="20"/>
      <w:lang w:eastAsia="it-IT" w:bidi="ar-SA"/>
    </w:rPr>
  </w:style>
  <w:style w:type="paragraph" w:styleId="Indice7">
    <w:name w:val="index 7"/>
    <w:basedOn w:val="Normale"/>
    <w:next w:val="Normale"/>
    <w:uiPriority w:val="39"/>
    <w:unhideWhenUsed/>
    <w:locked/>
    <w:pPr>
      <w:suppressAutoHyphens w:val="0"/>
      <w:spacing w:before="0"/>
      <w:ind w:left="1000"/>
    </w:pPr>
    <w:rPr>
      <w:rFonts w:asciiTheme="minorHAnsi" w:hAnsiTheme="minorHAnsi" w:cstheme="minorHAnsi"/>
      <w:sz w:val="20"/>
      <w:lang w:eastAsia="it-IT" w:bidi="ar-SA"/>
    </w:rPr>
  </w:style>
  <w:style w:type="paragraph" w:styleId="Indice8">
    <w:name w:val="index 8"/>
    <w:basedOn w:val="Normale"/>
    <w:next w:val="Normale"/>
    <w:uiPriority w:val="39"/>
    <w:unhideWhenUsed/>
    <w:locked/>
    <w:pPr>
      <w:suppressAutoHyphens w:val="0"/>
      <w:spacing w:before="0"/>
      <w:ind w:left="1200"/>
    </w:pPr>
    <w:rPr>
      <w:rFonts w:asciiTheme="minorHAnsi" w:hAnsiTheme="minorHAnsi" w:cstheme="minorHAnsi"/>
      <w:sz w:val="20"/>
      <w:lang w:eastAsia="it-IT" w:bidi="ar-SA"/>
    </w:rPr>
  </w:style>
  <w:style w:type="paragraph" w:styleId="Indice9">
    <w:name w:val="index 9"/>
    <w:basedOn w:val="Normale"/>
    <w:next w:val="Normale"/>
    <w:uiPriority w:val="39"/>
    <w:unhideWhenUsed/>
    <w:locked/>
    <w:pPr>
      <w:suppressAutoHyphens w:val="0"/>
      <w:spacing w:before="0"/>
      <w:ind w:left="1400"/>
    </w:pPr>
    <w:rPr>
      <w:rFonts w:asciiTheme="minorHAnsi" w:hAnsiTheme="minorHAnsi" w:cstheme="minorHAnsi"/>
      <w:sz w:val="20"/>
      <w:lang w:eastAsia="it-IT" w:bidi="ar-SA"/>
    </w:rPr>
  </w:style>
  <w:style w:type="paragraph" w:styleId="Elenco">
    <w:name w:val="List"/>
    <w:basedOn w:val="Corpodeltesto"/>
  </w:style>
  <w:style w:type="paragraph" w:customStyle="1" w:styleId="Corpodeltesto">
    <w:name w:val="Corpo del testo"/>
    <w:basedOn w:val="Normale"/>
    <w:link w:val="CorpotestoCarattere"/>
    <w:uiPriority w:val="99"/>
    <w:pPr>
      <w:spacing w:before="0" w:after="120"/>
    </w:pPr>
  </w:style>
  <w:style w:type="paragraph" w:styleId="NormaleWeb">
    <w:name w:val="Normal (Web)"/>
    <w:basedOn w:val="Normale"/>
    <w:link w:val="NormaleWebCarattere"/>
    <w:uiPriority w:val="99"/>
    <w:qFormat/>
    <w:pPr>
      <w:suppressAutoHyphens w:val="0"/>
      <w:spacing w:beforeAutospacing="1" w:afterAutospacing="1"/>
    </w:pPr>
    <w:rPr>
      <w:rFonts w:ascii="Times New Roman" w:hAnsi="Times New Roman" w:cs="Times New Roman"/>
      <w:sz w:val="24"/>
      <w:szCs w:val="24"/>
      <w:lang w:eastAsia="it-IT" w:bidi="ar-SA"/>
    </w:rPr>
  </w:style>
  <w:style w:type="paragraph" w:styleId="Testonormale">
    <w:name w:val="Plain Text"/>
    <w:basedOn w:val="Normale"/>
    <w:link w:val="TestonormaleCarattere"/>
    <w:uiPriority w:val="99"/>
    <w:qFormat/>
    <w:pPr>
      <w:suppressAutoHyphens w:val="0"/>
      <w:spacing w:before="0"/>
    </w:pPr>
    <w:rPr>
      <w:rFonts w:ascii="Courier New" w:hAnsi="Courier New" w:cs="Times New Roman"/>
      <w:sz w:val="20"/>
      <w:lang w:val="zh-CN" w:eastAsia="zh-CN" w:bidi="ar-SA"/>
    </w:rPr>
  </w:style>
  <w:style w:type="paragraph" w:styleId="Sottotitolo">
    <w:name w:val="Subtitle"/>
    <w:basedOn w:val="Intestazione1"/>
    <w:link w:val="SottotitoloCarattere"/>
    <w:uiPriority w:val="11"/>
    <w:qFormat/>
    <w:pPr>
      <w:jc w:val="center"/>
    </w:pPr>
    <w:rPr>
      <w:i/>
    </w:rPr>
  </w:style>
  <w:style w:type="paragraph" w:customStyle="1" w:styleId="Intestazione1">
    <w:name w:val="Intestazione1"/>
    <w:basedOn w:val="Normale"/>
    <w:qFormat/>
    <w:pPr>
      <w:keepNext/>
      <w:spacing w:before="240" w:after="120"/>
    </w:pPr>
    <w:rPr>
      <w:rFonts w:ascii="Arial" w:hAnsi="Arial" w:cs="Arial"/>
      <w:sz w:val="28"/>
    </w:rPr>
  </w:style>
  <w:style w:type="paragraph" w:styleId="Titolo">
    <w:name w:val="Title"/>
    <w:basedOn w:val="Normale"/>
    <w:next w:val="Corpodeltesto"/>
    <w:qFormat/>
    <w:pPr>
      <w:keepNext/>
      <w:spacing w:before="240" w:after="120"/>
    </w:pPr>
    <w:rPr>
      <w:rFonts w:ascii="Liberation Sans" w:eastAsia="Microsoft YaHei" w:hAnsi="Liberation Sans" w:cs="Mangal"/>
      <w:sz w:val="28"/>
      <w:szCs w:val="28"/>
    </w:rPr>
  </w:style>
  <w:style w:type="paragraph" w:styleId="Titoloindicefonti">
    <w:name w:val="toa heading"/>
    <w:basedOn w:val="Normale"/>
    <w:next w:val="Normale"/>
    <w:qFormat/>
    <w:pPr>
      <w:keepNext/>
      <w:suppressLineNumbers/>
      <w:spacing w:before="240" w:after="120"/>
      <w:jc w:val="center"/>
    </w:pPr>
    <w:rPr>
      <w:rFonts w:ascii="Liberation Sans" w:eastAsia="Microsoft YaHei" w:hAnsi="Liberation Sans" w:cs="Mangal"/>
      <w:b/>
      <w:bCs/>
      <w:sz w:val="32"/>
      <w:szCs w:val="32"/>
      <w:lang w:eastAsia="zh-CN" w:bidi="ar-SA"/>
    </w:rPr>
  </w:style>
  <w:style w:type="paragraph" w:styleId="Sommario1">
    <w:name w:val="toc 1"/>
    <w:basedOn w:val="Normale"/>
    <w:next w:val="Normale"/>
    <w:uiPriority w:val="39"/>
    <w:unhideWhenUsed/>
    <w:locked/>
    <w:pPr>
      <w:tabs>
        <w:tab w:val="right" w:leader="dot" w:pos="10196"/>
      </w:tabs>
      <w:spacing w:after="100"/>
      <w:ind w:left="708"/>
    </w:pPr>
    <w:rPr>
      <w:rFonts w:cs="Mangal"/>
    </w:rPr>
  </w:style>
  <w:style w:type="paragraph" w:styleId="Sommario2">
    <w:name w:val="toc 2"/>
    <w:basedOn w:val="Normale"/>
    <w:next w:val="Normale"/>
    <w:uiPriority w:val="39"/>
    <w:unhideWhenUsed/>
    <w:locked/>
    <w:pPr>
      <w:tabs>
        <w:tab w:val="right" w:leader="dot" w:pos="10196"/>
      </w:tabs>
      <w:spacing w:after="100"/>
    </w:pPr>
    <w:rPr>
      <w:rFonts w:cs="Mangal"/>
    </w:rPr>
  </w:style>
  <w:style w:type="character" w:styleId="Rimandocommento">
    <w:name w:val="annotation reference"/>
    <w:uiPriority w:val="99"/>
    <w:qFormat/>
    <w:rPr>
      <w:rFonts w:cs="Times New Roman"/>
      <w:sz w:val="16"/>
      <w:szCs w:val="16"/>
    </w:rPr>
  </w:style>
  <w:style w:type="character" w:styleId="Rimandonotadichiusura">
    <w:name w:val="endnote reference"/>
    <w:basedOn w:val="Carpredefinitoparagrafo"/>
    <w:qFormat/>
    <w:rPr>
      <w:vertAlign w:val="superscript"/>
    </w:rPr>
  </w:style>
  <w:style w:type="character" w:styleId="Collegamentovisitato">
    <w:name w:val="FollowedHyperlink"/>
    <w:basedOn w:val="Carpredefinitoparagrafo"/>
    <w:qFormat/>
    <w:rPr>
      <w:color w:val="954F72" w:themeColor="followedHyperlink"/>
      <w:u w:val="single"/>
    </w:rPr>
  </w:style>
  <w:style w:type="character" w:styleId="Rimandonotaapidipagina">
    <w:name w:val="footnote reference"/>
    <w:uiPriority w:val="99"/>
    <w:qFormat/>
    <w:rPr>
      <w:rFonts w:cs="Times New Roman"/>
      <w:vertAlign w:val="superscript"/>
    </w:rPr>
  </w:style>
  <w:style w:type="character" w:styleId="Collegamentoipertestuale">
    <w:name w:val="Hyperlink"/>
    <w:basedOn w:val="Carpredefinitoparagrafo"/>
    <w:uiPriority w:val="99"/>
    <w:unhideWhenUsed/>
    <w:qFormat/>
    <w:rPr>
      <w:color w:val="0563C1" w:themeColor="hyperlink"/>
      <w:u w:val="single"/>
    </w:rPr>
  </w:style>
  <w:style w:type="character" w:styleId="Numeropagina">
    <w:name w:val="page number"/>
    <w:basedOn w:val="Carpredefinitoparagrafo"/>
    <w:qFormat/>
  </w:style>
  <w:style w:type="character" w:styleId="Enfasigrassetto">
    <w:name w:val="Strong"/>
    <w:uiPriority w:val="22"/>
    <w:qFormat/>
    <w:rPr>
      <w:b/>
    </w:rPr>
  </w:style>
  <w:style w:type="table" w:styleId="Grigliatabella">
    <w:name w:val="Table Grid"/>
    <w:basedOn w:val="Tabellanormal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Elencochiaro-Colore5">
    <w:name w:val="Light List Accent 5"/>
    <w:basedOn w:val="Tabellanormale"/>
    <w:uiPriority w:val="61"/>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Grigliachiara-Colore5">
    <w:name w:val="Light Grid Accent 5"/>
    <w:basedOn w:val="Tabellanormale"/>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Sfondomedio1-Colore3">
    <w:name w:val="Medium Shading 1 Accent 3"/>
    <w:basedOn w:val="Tabellanormale"/>
    <w:uiPriority w:val="63"/>
    <w:qFormat/>
    <w:rPr>
      <w:rFonts w:asciiTheme="minorHAnsi" w:eastAsiaTheme="minorHAnsi" w:hAnsiTheme="minorHAnsi" w:cstheme="minorBidi"/>
      <w:sz w:val="22"/>
      <w:szCs w:val="22"/>
      <w:lang w:eastAsia="en-US"/>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Elencomedio1-Colore5">
    <w:name w:val="Medium List 1 Accent 5"/>
    <w:basedOn w:val="Tabellanormale"/>
    <w:uiPriority w:val="65"/>
    <w:qFormat/>
    <w:rPr>
      <w:color w:val="000000" w:themeColor="text1"/>
    </w:rPr>
    <w:tblPr>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Elencomedio2-Colore5">
    <w:name w:val="Medium List 2 Accent 5"/>
    <w:basedOn w:val="Tabellanormale"/>
    <w:uiPriority w:val="66"/>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alibri" w:hAnsi="Calibri"/>
      <w:sz w:val="22"/>
    </w:rPr>
  </w:style>
  <w:style w:type="character" w:customStyle="1" w:styleId="WW8Num2z1">
    <w:name w:val="WW8Num2z1"/>
    <w:qFormat/>
    <w:rPr>
      <w:rFonts w:ascii="Courier New" w:hAnsi="Courier New"/>
      <w:color w:val="000000"/>
      <w:sz w:val="22"/>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olor w:val="000000"/>
      <w:sz w:val="22"/>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color w:val="000000"/>
      <w:sz w:val="22"/>
    </w:rPr>
  </w:style>
  <w:style w:type="character" w:customStyle="1" w:styleId="WW8Num4z1">
    <w:name w:val="WW8Num4z1"/>
    <w:qFormat/>
    <w:rPr>
      <w:color w:val="000000"/>
      <w:sz w:val="22"/>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sz w:val="22"/>
    </w:rPr>
  </w:style>
  <w:style w:type="character" w:customStyle="1" w:styleId="WW8Num5z1">
    <w:name w:val="WW8Num5z1"/>
    <w:qFormat/>
    <w:rPr>
      <w:rFonts w:ascii="MS Gothic" w:eastAsia="MS Gothic" w:hAnsi="MS Gothic"/>
      <w:sz w:val="22"/>
    </w:rPr>
  </w:style>
  <w:style w:type="character" w:customStyle="1" w:styleId="WW8Num5z2">
    <w:name w:val="WW8Num5z2"/>
    <w:qFormat/>
  </w:style>
  <w:style w:type="character" w:customStyle="1" w:styleId="WW8Num6z0">
    <w:name w:val="WW8Num6z0"/>
    <w:qFormat/>
    <w:rPr>
      <w:rFonts w:ascii="Wingdings" w:hAnsi="Wingdings"/>
      <w:b/>
      <w:color w:val="000000"/>
      <w:sz w:val="22"/>
    </w:rPr>
  </w:style>
  <w:style w:type="character" w:customStyle="1" w:styleId="WW8Num7z0">
    <w:name w:val="WW8Num7z0"/>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10z0">
    <w:name w:val="WW8Num10z0"/>
    <w:qFormat/>
    <w:rPr>
      <w:rFonts w:ascii="Wingdings" w:hAnsi="Wingdings"/>
      <w:sz w:val="22"/>
    </w:rPr>
  </w:style>
  <w:style w:type="character" w:customStyle="1" w:styleId="WW8Num11z0">
    <w:name w:val="WW8Num11z0"/>
    <w:qFormat/>
    <w:rPr>
      <w:rFonts w:ascii="Symbol" w:hAnsi="Symbol"/>
      <w:b/>
      <w:sz w:val="22"/>
    </w:rPr>
  </w:style>
  <w:style w:type="character" w:customStyle="1" w:styleId="WW8Num12z0">
    <w:name w:val="WW8Num12z0"/>
    <w:qFormat/>
    <w:rPr>
      <w:rFonts w:ascii="Symbol" w:hAnsi="Symbol"/>
      <w:sz w:val="22"/>
    </w:rPr>
  </w:style>
  <w:style w:type="character" w:customStyle="1" w:styleId="WW8Num13z0">
    <w:name w:val="WW8Num13z0"/>
    <w:qFormat/>
    <w:rPr>
      <w:rFonts w:ascii="Symbol" w:hAnsi="Symbol"/>
    </w:rPr>
  </w:style>
  <w:style w:type="character" w:customStyle="1" w:styleId="WW8Num14z0">
    <w:name w:val="WW8Num14z0"/>
    <w:qFormat/>
    <w:rPr>
      <w:rFonts w:ascii="Symbol" w:hAnsi="Symbol"/>
      <w:b/>
      <w:sz w:val="24"/>
      <w:lang w:val="it-IT" w:eastAsia="he-IL" w:bidi="he-IL"/>
    </w:rPr>
  </w:style>
  <w:style w:type="character" w:customStyle="1" w:styleId="WW8Num15z0">
    <w:name w:val="WW8Num15z0"/>
    <w:qFormat/>
    <w:rPr>
      <w:rFonts w:ascii="Symbol" w:eastAsia="MS Gothic" w:hAnsi="Symbol"/>
      <w:sz w:val="22"/>
    </w:rPr>
  </w:style>
  <w:style w:type="character" w:customStyle="1" w:styleId="WW8Num16z0">
    <w:name w:val="WW8Num16z0"/>
    <w:qFormat/>
    <w:rPr>
      <w:rFonts w:ascii="Wingdings" w:hAnsi="Wingdings"/>
      <w:b/>
      <w:sz w:val="22"/>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Wingdings" w:hAnsi="Wingdings"/>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rPr>
      <w:color w:val="000000"/>
      <w:sz w:val="22"/>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1z1">
    <w:name w:val="WW8Num11z1"/>
    <w:qFormat/>
    <w:rPr>
      <w:rFonts w:ascii="MS Gothic" w:eastAsia="MS Gothic" w:hAnsi="MS Gothic"/>
      <w:sz w:val="22"/>
    </w:rPr>
  </w:style>
  <w:style w:type="character" w:customStyle="1" w:styleId="WW8Num11z2">
    <w:name w:val="WW8Num11z2"/>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0">
    <w:name w:val="WW8Num18z0"/>
    <w:qFormat/>
  </w:style>
  <w:style w:type="character" w:customStyle="1" w:styleId="WW8Num19z0">
    <w:name w:val="WW8Num19z0"/>
    <w:qFormat/>
    <w:rPr>
      <w:b/>
    </w:rPr>
  </w:style>
  <w:style w:type="character" w:customStyle="1" w:styleId="WW8Num20z0">
    <w:name w:val="WW8Num20z0"/>
    <w:qFormat/>
    <w:rPr>
      <w:b/>
    </w:rPr>
  </w:style>
  <w:style w:type="character" w:customStyle="1" w:styleId="WW8Num21z0">
    <w:name w:val="WW8Num21z0"/>
    <w:qFormat/>
    <w:rPr>
      <w:b/>
    </w:rPr>
  </w:style>
  <w:style w:type="character" w:customStyle="1" w:styleId="WW8Num22z0">
    <w:name w:val="WW8Num22z0"/>
    <w:qFormat/>
    <w:rPr>
      <w:rFonts w:ascii="Helvetica" w:hAnsi="Helvetica"/>
      <w:b/>
      <w:sz w:val="22"/>
      <w:lang w:val="it-IT" w:eastAsia="he-IL" w:bidi="he-IL"/>
    </w:rPr>
  </w:style>
  <w:style w:type="character" w:customStyle="1" w:styleId="WW8Num23z0">
    <w:name w:val="WW8Num23z0"/>
    <w:qFormat/>
    <w:rPr>
      <w:rFonts w:ascii="Courier New" w:eastAsia="MS Gothic" w:hAnsi="Courier New"/>
      <w:b/>
      <w:sz w:val="24"/>
      <w:lang w:val="it-IT" w:eastAsia="he-IL" w:bidi="he-IL"/>
    </w:rPr>
  </w:style>
  <w:style w:type="character" w:customStyle="1" w:styleId="WW8Num24z0">
    <w:name w:val="WW8Num24z0"/>
    <w:qFormat/>
    <w:rPr>
      <w:rFonts w:ascii="Symbol" w:eastAsia="MS Gothic" w:hAnsi="Symbol"/>
      <w:b/>
      <w:sz w:val="22"/>
    </w:rPr>
  </w:style>
  <w:style w:type="character" w:customStyle="1" w:styleId="WW8Num24z1">
    <w:name w:val="WW8Num24z1"/>
    <w:qFormat/>
    <w:rPr>
      <w:rFonts w:ascii="Courier New" w:eastAsia="MS Gothic" w:hAnsi="Courier New"/>
      <w:sz w:val="22"/>
    </w:rPr>
  </w:style>
  <w:style w:type="character" w:customStyle="1" w:styleId="WW8Num24z2">
    <w:name w:val="WW8Num24z2"/>
    <w:qFormat/>
    <w:rPr>
      <w:rFonts w:ascii="Wingdings" w:hAnsi="Wingdings"/>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Wingdings" w:eastAsia="MS Gothic" w:hAnsi="Wingdings"/>
      <w:sz w:val="22"/>
    </w:rPr>
  </w:style>
  <w:style w:type="character" w:customStyle="1" w:styleId="WW8Num25z1">
    <w:name w:val="WW8Num25z1"/>
    <w:qFormat/>
    <w:rPr>
      <w:rFonts w:ascii="Courier New" w:hAnsi="Courier New"/>
    </w:rPr>
  </w:style>
  <w:style w:type="character" w:customStyle="1" w:styleId="WW8Num25z2">
    <w:name w:val="WW8Num25z2"/>
    <w:qFormat/>
  </w:style>
  <w:style w:type="character" w:customStyle="1" w:styleId="WW8Num25z3">
    <w:name w:val="WW8Num25z3"/>
    <w:qFormat/>
    <w:rPr>
      <w:rFonts w:ascii="Symbol" w:hAnsi="Symbol"/>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2z1">
    <w:name w:val="WW8Num12z1"/>
    <w:qFormat/>
    <w:rPr>
      <w:rFonts w:ascii="MS Gothic" w:eastAsia="MS Gothic" w:hAnsi="MS Gothic"/>
      <w:sz w:val="22"/>
    </w:rPr>
  </w:style>
  <w:style w:type="character" w:customStyle="1" w:styleId="WW8Num12z2">
    <w:name w:val="WW8Num12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8z1">
    <w:name w:val="WW8Num18z1"/>
    <w:qFormat/>
  </w:style>
  <w:style w:type="character" w:customStyle="1" w:styleId="WW8Num18z2">
    <w:name w:val="WW8Num18z2"/>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6z0">
    <w:name w:val="WW8Num26z0"/>
    <w:qFormat/>
    <w:rPr>
      <w:sz w:val="22"/>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rPr>
  </w:style>
  <w:style w:type="character" w:customStyle="1" w:styleId="WW8Num27z1">
    <w:name w:val="WW8Num27z1"/>
    <w:qFormat/>
    <w:rPr>
      <w:rFonts w:ascii="Courier New" w:hAnsi="Courier New"/>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Symbol" w:hAnsi="Symbol"/>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rFonts w:ascii="Symbol" w:hAnsi="Symbol"/>
    </w:rPr>
  </w:style>
  <w:style w:type="character" w:customStyle="1" w:styleId="WW8Num29z1">
    <w:name w:val="WW8Num29z1"/>
    <w:qFormat/>
    <w:rPr>
      <w:rFonts w:ascii="Courier New" w:hAnsi="Courier New"/>
    </w:rPr>
  </w:style>
  <w:style w:type="character" w:customStyle="1" w:styleId="WW8Num29z2">
    <w:name w:val="WW8Num29z2"/>
    <w:qFormat/>
    <w:rPr>
      <w:rFonts w:ascii="Wingdings" w:hAnsi="Wingdings"/>
    </w:rPr>
  </w:style>
  <w:style w:type="character" w:customStyle="1" w:styleId="WW8Num30z0">
    <w:name w:val="WW8Num30z0"/>
    <w:qFormat/>
    <w:rPr>
      <w:rFonts w:ascii="Symbol" w:hAnsi="Symbol"/>
    </w:rPr>
  </w:style>
  <w:style w:type="character" w:customStyle="1" w:styleId="WW8Num30z1">
    <w:name w:val="WW8Num30z1"/>
    <w:qFormat/>
    <w:rPr>
      <w:rFonts w:ascii="Courier New" w:hAnsi="Courier New"/>
    </w:rPr>
  </w:style>
  <w:style w:type="character" w:customStyle="1" w:styleId="WW8Num30z2">
    <w:name w:val="WW8Num30z2"/>
    <w:qFormat/>
    <w:rPr>
      <w:rFonts w:ascii="Wingdings" w:hAnsi="Wingdings"/>
    </w:rPr>
  </w:style>
  <w:style w:type="character" w:customStyle="1" w:styleId="WW8Num31z0">
    <w:name w:val="WW8Num31z0"/>
    <w:qFormat/>
    <w:rPr>
      <w:sz w:val="22"/>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sz w:val="22"/>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Symbol" w:hAnsi="Symbol"/>
    </w:rPr>
  </w:style>
  <w:style w:type="character" w:customStyle="1" w:styleId="WW8Num34z1">
    <w:name w:val="WW8Num34z1"/>
    <w:qFormat/>
    <w:rPr>
      <w:rFonts w:ascii="Symbol" w:hAnsi="Symbol"/>
    </w:rPr>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Courier New" w:hAnsi="Courier New"/>
    </w:rPr>
  </w:style>
  <w:style w:type="character" w:customStyle="1" w:styleId="WW8Num36z2">
    <w:name w:val="WW8Num36z2"/>
    <w:qFormat/>
    <w:rPr>
      <w:rFonts w:ascii="Wingdings" w:hAnsi="Wingdings"/>
    </w:rPr>
  </w:style>
  <w:style w:type="character" w:customStyle="1" w:styleId="WW8Num36z3">
    <w:name w:val="WW8Num36z3"/>
    <w:qFormat/>
    <w:rPr>
      <w:rFonts w:ascii="Symbol" w:hAnsi="Symbol"/>
    </w:rPr>
  </w:style>
  <w:style w:type="character" w:customStyle="1" w:styleId="WW8Num37z0">
    <w:name w:val="WW8Num37z0"/>
    <w:qFormat/>
    <w:rPr>
      <w:rFonts w:ascii="Symbol" w:hAnsi="Symbol"/>
    </w:rPr>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rPr>
  </w:style>
  <w:style w:type="character" w:customStyle="1" w:styleId="WW8Num38z1">
    <w:name w:val="WW8Num38z1"/>
    <w:qFormat/>
    <w:rPr>
      <w:rFonts w:ascii="Courier New" w:hAnsi="Courier New"/>
    </w:rPr>
  </w:style>
  <w:style w:type="character" w:customStyle="1" w:styleId="WW8Num38z2">
    <w:name w:val="WW8Num38z2"/>
    <w:qFormat/>
    <w:rPr>
      <w:rFonts w:ascii="Wingdings" w:hAnsi="Wingdings"/>
    </w:rPr>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rFonts w:ascii="Symbol" w:hAnsi="Symbol"/>
    </w:rPr>
  </w:style>
  <w:style w:type="character" w:customStyle="1" w:styleId="WW8Num41z1">
    <w:name w:val="WW8Num41z1"/>
    <w:qFormat/>
    <w:rPr>
      <w:rFonts w:ascii="Courier New" w:hAnsi="Courier New"/>
    </w:rPr>
  </w:style>
  <w:style w:type="character" w:customStyle="1" w:styleId="WW8Num41z2">
    <w:name w:val="WW8Num41z2"/>
    <w:qFormat/>
    <w:rPr>
      <w:rFonts w:ascii="Wingdings" w:hAnsi="Wingdings"/>
    </w:rPr>
  </w:style>
  <w:style w:type="character" w:customStyle="1" w:styleId="WW8Num42z0">
    <w:name w:val="WW8Num42z0"/>
    <w:qFormat/>
    <w:rPr>
      <w:rFonts w:ascii="Symbol" w:hAnsi="Symbol"/>
    </w:rPr>
  </w:style>
  <w:style w:type="character" w:customStyle="1" w:styleId="WW8Num42z1">
    <w:name w:val="WW8Num42z1"/>
    <w:qFormat/>
    <w:rPr>
      <w:rFonts w:ascii="Courier New" w:hAnsi="Courier New"/>
    </w:rPr>
  </w:style>
  <w:style w:type="character" w:customStyle="1" w:styleId="WW8Num42z2">
    <w:name w:val="WW8Num42z2"/>
    <w:qFormat/>
    <w:rPr>
      <w:rFonts w:ascii="Wingdings" w:hAnsi="Wingdings"/>
    </w:rPr>
  </w:style>
  <w:style w:type="character" w:customStyle="1" w:styleId="WW8Num43z0">
    <w:name w:val="WW8Num43z0"/>
    <w:qFormat/>
    <w:rPr>
      <w:rFonts w:ascii="Symbol" w:hAnsi="Symbol"/>
    </w:rPr>
  </w:style>
  <w:style w:type="character" w:customStyle="1" w:styleId="WW8Num43z1">
    <w:name w:val="WW8Num43z1"/>
    <w:qFormat/>
    <w:rPr>
      <w:rFonts w:ascii="Courier New" w:hAnsi="Courier New"/>
    </w:rPr>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sz w:val="22"/>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sz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Symbol" w:hAnsi="Symbol"/>
    </w:rPr>
  </w:style>
  <w:style w:type="character" w:customStyle="1" w:styleId="WW8Num46z1">
    <w:name w:val="WW8Num46z1"/>
    <w:qFormat/>
    <w:rPr>
      <w:rFonts w:ascii="Courier New" w:hAnsi="Courier New"/>
    </w:rPr>
  </w:style>
  <w:style w:type="character" w:customStyle="1" w:styleId="WW8Num46z2">
    <w:name w:val="WW8Num46z2"/>
    <w:qFormat/>
    <w:rPr>
      <w:rFonts w:ascii="Wingdings" w:hAnsi="Wingdings"/>
    </w:rPr>
  </w:style>
  <w:style w:type="character" w:customStyle="1" w:styleId="WW8Num47z0">
    <w:name w:val="WW8Num47z0"/>
    <w:qFormat/>
    <w:rPr>
      <w:rFonts w:ascii="Wingdings" w:hAnsi="Wingdings"/>
    </w:rPr>
  </w:style>
  <w:style w:type="character" w:customStyle="1" w:styleId="WW8Num47z1">
    <w:name w:val="WW8Num47z1"/>
    <w:qFormat/>
    <w:rPr>
      <w:rFonts w:ascii="Courier New" w:hAnsi="Courier New"/>
    </w:rPr>
  </w:style>
  <w:style w:type="character" w:customStyle="1" w:styleId="WW8Num47z3">
    <w:name w:val="WW8Num47z3"/>
    <w:qFormat/>
    <w:rPr>
      <w:rFonts w:ascii="Symbol" w:hAnsi="Symbol"/>
    </w:rPr>
  </w:style>
  <w:style w:type="character" w:customStyle="1" w:styleId="WW8Num48z0">
    <w:name w:val="WW8Num48z0"/>
    <w:qFormat/>
    <w:rPr>
      <w:sz w:val="28"/>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rPr>
      <w:rFonts w:ascii="Courier New" w:eastAsia="MS Gothic" w:hAnsi="Courier New"/>
      <w:sz w:val="22"/>
    </w:rPr>
  </w:style>
  <w:style w:type="character" w:customStyle="1" w:styleId="WW8Num49z2">
    <w:name w:val="WW8Num49z2"/>
    <w:qFormat/>
    <w:rPr>
      <w:rFonts w:ascii="Wingdings" w:hAnsi="Wingdings"/>
    </w:rPr>
  </w:style>
  <w:style w:type="character" w:customStyle="1" w:styleId="WW8Num49z3">
    <w:name w:val="WW8Num49z3"/>
    <w:qFormat/>
    <w:rPr>
      <w:rFonts w:ascii="Symbol" w:hAnsi="Symbol"/>
    </w:rPr>
  </w:style>
  <w:style w:type="character" w:customStyle="1" w:styleId="WW8Num50z0">
    <w:name w:val="WW8Num50z0"/>
    <w:qFormat/>
    <w:rPr>
      <w:rFonts w:ascii="Symbol" w:hAnsi="Symbol"/>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Carpredefinitoparagrafo1">
    <w:name w:val="Car. predefinito paragrafo1"/>
    <w:qFormat/>
  </w:style>
  <w:style w:type="character" w:customStyle="1" w:styleId="Caratterepredefinitoparagrafo">
    <w:name w:val="Carattere predefinito paragrafo"/>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DefaultParagraphFont1">
    <w:name w:val="Default Paragraph Font1"/>
    <w:qFormat/>
  </w:style>
  <w:style w:type="character" w:customStyle="1" w:styleId="Titolo1Carattere">
    <w:name w:val="Titolo 1 Carattere"/>
    <w:uiPriority w:val="9"/>
    <w:qFormat/>
    <w:rPr>
      <w:rFonts w:ascii="Cambria" w:hAnsi="Cambria"/>
      <w:b/>
      <w:smallCaps/>
      <w:sz w:val="28"/>
    </w:rPr>
  </w:style>
  <w:style w:type="character" w:customStyle="1" w:styleId="Titolo2Carattere">
    <w:name w:val="Titolo 2 Carattere"/>
    <w:qFormat/>
    <w:rPr>
      <w:rFonts w:ascii="Cambria" w:hAnsi="Cambria"/>
      <w:b/>
      <w:smallCaps/>
      <w:sz w:val="26"/>
    </w:rPr>
  </w:style>
  <w:style w:type="character" w:customStyle="1" w:styleId="Titolo3Carattere">
    <w:name w:val="Titolo 3 Carattere"/>
    <w:uiPriority w:val="9"/>
    <w:qFormat/>
    <w:rPr>
      <w:rFonts w:ascii="Cambria" w:hAnsi="Cambria"/>
      <w:b/>
    </w:rPr>
  </w:style>
  <w:style w:type="character" w:customStyle="1" w:styleId="Titolo4Carattere">
    <w:name w:val="Titolo 4 Carattere"/>
    <w:uiPriority w:val="9"/>
    <w:qFormat/>
    <w:rPr>
      <w:rFonts w:ascii="Cambria" w:hAnsi="Cambria"/>
      <w:b/>
      <w:i/>
    </w:rPr>
  </w:style>
  <w:style w:type="character" w:customStyle="1" w:styleId="IntestazioneCarattere">
    <w:name w:val="Intestazione Carattere"/>
    <w:qFormat/>
    <w:rPr>
      <w:rFonts w:cs="Times New Roman"/>
    </w:rPr>
  </w:style>
  <w:style w:type="character" w:customStyle="1" w:styleId="PidipaginaCarattere">
    <w:name w:val="Piè di pagina Carattere"/>
    <w:uiPriority w:val="99"/>
    <w:qFormat/>
    <w:rPr>
      <w:rFonts w:cs="Times New Roman"/>
    </w:rPr>
  </w:style>
  <w:style w:type="character" w:customStyle="1" w:styleId="Numeropagina1">
    <w:name w:val="Numero pagina1"/>
    <w:qFormat/>
    <w:rPr>
      <w:rFonts w:cs="Times New Roman"/>
    </w:rPr>
  </w:style>
  <w:style w:type="character" w:customStyle="1" w:styleId="TestofumettoCarattere">
    <w:name w:val="Testo fumetto Carattere"/>
    <w:uiPriority w:val="99"/>
    <w:qFormat/>
    <w:rPr>
      <w:rFonts w:ascii="Tahoma" w:hAnsi="Tahoma"/>
      <w:sz w:val="16"/>
    </w:rPr>
  </w:style>
  <w:style w:type="character" w:customStyle="1" w:styleId="TitoloCarattere">
    <w:name w:val="Titolo Carattere"/>
    <w:qFormat/>
    <w:rPr>
      <w:rFonts w:ascii="Cambria" w:hAnsi="Cambria"/>
      <w:color w:val="000080"/>
      <w:spacing w:val="5"/>
      <w:sz w:val="52"/>
    </w:rPr>
  </w:style>
  <w:style w:type="character" w:customStyle="1" w:styleId="Enfasi">
    <w:name w:val="Enfasi"/>
    <w:uiPriority w:val="20"/>
    <w:qFormat/>
    <w:rPr>
      <w:i/>
    </w:rPr>
  </w:style>
  <w:style w:type="character" w:customStyle="1" w:styleId="CollegamentoInternet">
    <w:name w:val="Collegamento Internet"/>
    <w:uiPriority w:val="99"/>
    <w:qFormat/>
    <w:rPr>
      <w:rFonts w:cs="Times New Roman"/>
      <w:color w:val="0000FF"/>
      <w:u w:val="single"/>
    </w:rPr>
  </w:style>
  <w:style w:type="character" w:customStyle="1" w:styleId="ListLabel1">
    <w:name w:val="ListLabel 1"/>
    <w:qFormat/>
  </w:style>
  <w:style w:type="character" w:customStyle="1" w:styleId="ListLabel2">
    <w:name w:val="ListLabel 2"/>
    <w:qFormat/>
  </w:style>
  <w:style w:type="character" w:customStyle="1" w:styleId="ListLabel3">
    <w:name w:val="ListLabel 3"/>
    <w:qFormat/>
    <w:rPr>
      <w:color w:val="000000"/>
      <w:sz w:val="20"/>
    </w:rPr>
  </w:style>
  <w:style w:type="character" w:customStyle="1" w:styleId="ListLabel4">
    <w:name w:val="ListLabel 4"/>
    <w:qFormat/>
  </w:style>
  <w:style w:type="character" w:customStyle="1" w:styleId="Punti">
    <w:name w:val="Punti"/>
    <w:qFormat/>
    <w:rPr>
      <w:rFonts w:ascii="OpenSymbol" w:hAnsi="OpenSymbol"/>
    </w:rPr>
  </w:style>
  <w:style w:type="character" w:customStyle="1" w:styleId="Caratteredinumerazione">
    <w:name w:val="Carattere di numerazione"/>
    <w:qFormat/>
  </w:style>
  <w:style w:type="character" w:customStyle="1" w:styleId="TestofumettoCarattere1">
    <w:name w:val="Testo fumetto Carattere1"/>
    <w:qFormat/>
    <w:rPr>
      <w:rFonts w:ascii="Lucida Grande" w:hAnsi="Lucida Grande"/>
      <w:sz w:val="18"/>
      <w:lang w:val="zh-CN" w:eastAsia="hi-IN" w:bidi="hi-IN"/>
    </w:rPr>
  </w:style>
  <w:style w:type="character" w:customStyle="1" w:styleId="IntestazioneCarattere1">
    <w:name w:val="Intestazione Carattere1"/>
    <w:link w:val="Intestazione"/>
    <w:qFormat/>
    <w:locked/>
    <w:rPr>
      <w:rFonts w:ascii="Calibri" w:hAnsi="Calibri"/>
      <w:sz w:val="22"/>
      <w:lang w:val="zh-CN" w:eastAsia="hi-IN" w:bidi="hi-IN"/>
    </w:rPr>
  </w:style>
  <w:style w:type="character" w:customStyle="1" w:styleId="TestonotaapidipaginaCarattere">
    <w:name w:val="Testo nota a piè di pagina Carattere"/>
    <w:link w:val="Testonotaapidipagina"/>
    <w:uiPriority w:val="99"/>
    <w:qFormat/>
    <w:locked/>
    <w:rPr>
      <w:rFonts w:ascii="Calibri" w:hAnsi="Calibri" w:cs="Mangal"/>
      <w:sz w:val="18"/>
      <w:szCs w:val="18"/>
      <w:lang w:val="zh-CN" w:eastAsia="hi-IN" w:bidi="hi-IN"/>
    </w:rPr>
  </w:style>
  <w:style w:type="character" w:customStyle="1" w:styleId="TestocommentoCarattere">
    <w:name w:val="Testo commento Carattere"/>
    <w:link w:val="Testocommento"/>
    <w:uiPriority w:val="99"/>
    <w:qFormat/>
    <w:locked/>
    <w:rPr>
      <w:rFonts w:ascii="Calibri" w:hAnsi="Calibri" w:cs="Mangal"/>
      <w:sz w:val="18"/>
      <w:szCs w:val="18"/>
      <w:lang w:val="zh-CN" w:eastAsia="hi-IN" w:bidi="hi-IN"/>
    </w:rPr>
  </w:style>
  <w:style w:type="character" w:customStyle="1" w:styleId="SoggettocommentoCarattere">
    <w:name w:val="Soggetto commento Carattere"/>
    <w:link w:val="Soggettocommento"/>
    <w:uiPriority w:val="99"/>
    <w:qFormat/>
    <w:locked/>
    <w:rPr>
      <w:rFonts w:ascii="Calibri" w:hAnsi="Calibri" w:cs="Mangal"/>
      <w:b/>
      <w:bCs/>
      <w:sz w:val="18"/>
      <w:szCs w:val="18"/>
      <w:lang w:val="zh-CN" w:eastAsia="hi-IN" w:bidi="hi-IN"/>
    </w:rPr>
  </w:style>
  <w:style w:type="character" w:customStyle="1" w:styleId="CorpotestoCarattere">
    <w:name w:val="Corpo testo Carattere"/>
    <w:link w:val="Corpodeltesto"/>
    <w:uiPriority w:val="99"/>
    <w:qFormat/>
    <w:locked/>
    <w:rPr>
      <w:rFonts w:ascii="Calibri" w:hAnsi="Calibri" w:cs="Calibri"/>
      <w:sz w:val="22"/>
      <w:lang w:val="zh-CN" w:eastAsia="hi-IN" w:bidi="hi-IN"/>
    </w:rPr>
  </w:style>
  <w:style w:type="character" w:customStyle="1" w:styleId="Titolo5Carattere">
    <w:name w:val="Titolo 5 Carattere"/>
    <w:basedOn w:val="Carpredefinitoparagrafo"/>
    <w:link w:val="Titolo5"/>
    <w:qFormat/>
    <w:rPr>
      <w:rFonts w:ascii="Cambria" w:hAnsi="Cambria"/>
      <w:color w:val="243F60"/>
      <w:sz w:val="22"/>
      <w:szCs w:val="22"/>
      <w:lang w:eastAsia="en-US"/>
    </w:rPr>
  </w:style>
  <w:style w:type="character" w:customStyle="1" w:styleId="Titolo6Carattere">
    <w:name w:val="Titolo 6 Carattere"/>
    <w:basedOn w:val="Carpredefinitoparagrafo"/>
    <w:link w:val="Titolo6"/>
    <w:uiPriority w:val="9"/>
    <w:qFormat/>
    <w:rPr>
      <w:b/>
      <w:bCs/>
      <w:sz w:val="22"/>
      <w:szCs w:val="22"/>
    </w:rPr>
  </w:style>
  <w:style w:type="character" w:customStyle="1" w:styleId="Titolo8Carattere">
    <w:name w:val="Titolo 8 Carattere"/>
    <w:basedOn w:val="Carpredefinitoparagrafo"/>
    <w:link w:val="Titolo8"/>
    <w:qFormat/>
    <w:rPr>
      <w:rFonts w:asciiTheme="majorHAnsi" w:eastAsiaTheme="majorEastAsia" w:hAnsiTheme="majorHAnsi" w:cstheme="majorBidi"/>
      <w:color w:val="404040" w:themeColor="text1" w:themeTint="BF"/>
    </w:rPr>
  </w:style>
  <w:style w:type="character" w:customStyle="1" w:styleId="Titolo9Carattere">
    <w:name w:val="Titolo 9 Carattere"/>
    <w:basedOn w:val="Carpredefinitoparagrafo"/>
    <w:link w:val="Titolo9"/>
    <w:qFormat/>
    <w:rPr>
      <w:rFonts w:asciiTheme="majorHAnsi" w:eastAsiaTheme="majorEastAsia" w:hAnsiTheme="majorHAnsi" w:cstheme="majorBidi"/>
      <w:i/>
      <w:iCs/>
      <w:color w:val="404040" w:themeColor="text1" w:themeTint="BF"/>
    </w:rPr>
  </w:style>
  <w:style w:type="character" w:customStyle="1" w:styleId="01TestoCarattereCarattere">
    <w:name w:val="01_Testo Carattere Carattere"/>
    <w:link w:val="01TestoCarattere"/>
    <w:qFormat/>
    <w:rPr>
      <w:color w:val="56533C"/>
      <w:sz w:val="18"/>
      <w:szCs w:val="18"/>
    </w:rPr>
  </w:style>
  <w:style w:type="paragraph" w:customStyle="1" w:styleId="01TestoCarattere">
    <w:name w:val="01_Testo Carattere"/>
    <w:basedOn w:val="Normale"/>
    <w:link w:val="01TestoCarattereCarattere"/>
    <w:qFormat/>
    <w:pPr>
      <w:widowControl w:val="0"/>
      <w:suppressAutoHyphens w:val="0"/>
      <w:spacing w:before="0" w:line="240" w:lineRule="atLeast"/>
      <w:jc w:val="both"/>
      <w:textAlignment w:val="center"/>
    </w:pPr>
    <w:rPr>
      <w:rFonts w:ascii="Times New Roman" w:hAnsi="Times New Roman" w:cs="Times New Roman"/>
      <w:color w:val="56533C"/>
      <w:sz w:val="18"/>
      <w:szCs w:val="18"/>
      <w:lang w:eastAsia="it-IT" w:bidi="ar-SA"/>
    </w:rPr>
  </w:style>
  <w:style w:type="character" w:customStyle="1" w:styleId="Corpodeltesto2Carattere">
    <w:name w:val="Corpo del testo 2 Carattere"/>
    <w:basedOn w:val="Carpredefinitoparagrafo"/>
    <w:link w:val="Corpodeltesto2"/>
    <w:uiPriority w:val="99"/>
    <w:qFormat/>
  </w:style>
  <w:style w:type="character" w:customStyle="1" w:styleId="NormaleWebCarattere">
    <w:name w:val="Normale (Web) Carattere"/>
    <w:link w:val="NormaleWeb"/>
    <w:qFormat/>
    <w:locked/>
    <w:rPr>
      <w:sz w:val="24"/>
      <w:szCs w:val="24"/>
    </w:rPr>
  </w:style>
  <w:style w:type="character" w:customStyle="1" w:styleId="Enfasiintensa1">
    <w:name w:val="Enfasi intensa1"/>
    <w:uiPriority w:val="66"/>
    <w:qFormat/>
    <w:rPr>
      <w:rFonts w:cs="Times New Roman"/>
      <w:b/>
      <w:bCs/>
      <w:i/>
      <w:iCs/>
      <w:color w:val="4F81BD"/>
    </w:rPr>
  </w:style>
  <w:style w:type="character" w:customStyle="1" w:styleId="TestonormaleCarattere">
    <w:name w:val="Testo normale Carattere"/>
    <w:basedOn w:val="Carpredefinitoparagrafo"/>
    <w:link w:val="Testonormale"/>
    <w:uiPriority w:val="99"/>
    <w:qFormat/>
    <w:rPr>
      <w:rFonts w:ascii="Courier New" w:hAnsi="Courier New"/>
      <w:lang w:val="zh-CN" w:eastAsia="zh-CN"/>
    </w:rPr>
  </w:style>
  <w:style w:type="character" w:customStyle="1" w:styleId="text1">
    <w:name w:val="text1"/>
    <w:basedOn w:val="Carpredefinitoparagrafo"/>
    <w:qFormat/>
  </w:style>
  <w:style w:type="character" w:customStyle="1" w:styleId="SottotitoloCarattere">
    <w:name w:val="Sottotitolo Carattere"/>
    <w:basedOn w:val="Carpredefinitoparagrafo"/>
    <w:link w:val="Sottotitolo"/>
    <w:uiPriority w:val="11"/>
    <w:qFormat/>
    <w:rPr>
      <w:rFonts w:ascii="Arial" w:hAnsi="Arial" w:cs="Arial"/>
      <w:i/>
      <w:sz w:val="28"/>
      <w:lang w:eastAsia="hi-IN" w:bidi="hi-IN"/>
    </w:rPr>
  </w:style>
  <w:style w:type="character" w:customStyle="1" w:styleId="il">
    <w:name w:val="il"/>
    <w:basedOn w:val="Carpredefinitoparagrafo"/>
    <w:qFormat/>
  </w:style>
  <w:style w:type="character" w:customStyle="1" w:styleId="SoggettocommentoCarattere1">
    <w:name w:val="Soggetto commento Carattere1"/>
    <w:basedOn w:val="TestocommentoCarattere"/>
    <w:qFormat/>
    <w:rPr>
      <w:rFonts w:ascii="Calibri" w:hAnsi="Calibri" w:cs="Mangal"/>
      <w:b/>
      <w:bCs/>
      <w:sz w:val="18"/>
      <w:szCs w:val="18"/>
      <w:lang w:val="zh-CN" w:eastAsia="hi-IN" w:bidi="hi-IN"/>
    </w:rPr>
  </w:style>
  <w:style w:type="character" w:customStyle="1" w:styleId="SottotitoloCarattere1">
    <w:name w:val="Sottotitolo Carattere1"/>
    <w:basedOn w:val="Carpredefinitoparagrafo"/>
    <w:qFormat/>
    <w:rPr>
      <w:rFonts w:asciiTheme="majorHAnsi" w:eastAsiaTheme="majorEastAsia" w:hAnsiTheme="majorHAnsi" w:cstheme="majorBidi"/>
      <w:i/>
      <w:iCs/>
      <w:color w:val="5B9BD5" w:themeColor="accent1"/>
      <w:spacing w:val="15"/>
      <w:sz w:val="24"/>
      <w:szCs w:val="24"/>
    </w:rPr>
  </w:style>
  <w:style w:type="character" w:customStyle="1" w:styleId="Rimandocommento1">
    <w:name w:val="Rimando commento1"/>
    <w:qFormat/>
    <w:rPr>
      <w:sz w:val="16"/>
    </w:rPr>
  </w:style>
  <w:style w:type="character" w:customStyle="1" w:styleId="testo1">
    <w:name w:val="testo1"/>
    <w:qFormat/>
    <w:rPr>
      <w:rFonts w:ascii="Verdana" w:hAnsi="Verdana"/>
      <w:color w:val="000000"/>
      <w:spacing w:val="320"/>
      <w:sz w:val="17"/>
      <w:szCs w:val="17"/>
      <w:shd w:val="clear" w:color="auto" w:fill="FFFFFF"/>
    </w:rPr>
  </w:style>
  <w:style w:type="character" w:customStyle="1" w:styleId="Iniziomodulo-zCarattere">
    <w:name w:val="Inizio modulo -z Carattere"/>
    <w:basedOn w:val="Carpredefinitoparagrafo"/>
    <w:uiPriority w:val="99"/>
    <w:qFormat/>
    <w:rPr>
      <w:rFonts w:ascii="Arial" w:hAnsi="Arial"/>
      <w:vanish/>
      <w:sz w:val="16"/>
      <w:szCs w:val="16"/>
      <w:lang w:eastAsia="hi-IN"/>
    </w:rPr>
  </w:style>
  <w:style w:type="character" w:customStyle="1" w:styleId="Finemodulo-zCarattere">
    <w:name w:val="Fine modulo -z Carattere"/>
    <w:basedOn w:val="Carpredefinitoparagrafo"/>
    <w:uiPriority w:val="99"/>
    <w:qFormat/>
    <w:rPr>
      <w:rFonts w:ascii="Arial" w:hAnsi="Arial"/>
      <w:vanish/>
      <w:sz w:val="16"/>
      <w:szCs w:val="16"/>
      <w:lang w:eastAsia="hi-IN"/>
    </w:rPr>
  </w:style>
  <w:style w:type="character" w:customStyle="1" w:styleId="userformat3">
    <w:name w:val="userformat3"/>
    <w:basedOn w:val="Carpredefinitoparagrafo"/>
    <w:qFormat/>
  </w:style>
  <w:style w:type="character" w:customStyle="1" w:styleId="highlightedsearchterm">
    <w:name w:val="highlightedsearchterm"/>
    <w:basedOn w:val="Carpredefinitoparagrafo"/>
    <w:qFormat/>
  </w:style>
  <w:style w:type="character" w:customStyle="1" w:styleId="Collegamentovisitato1">
    <w:name w:val="Collegamento visitato1"/>
    <w:basedOn w:val="Carpredefinitoparagrafo"/>
    <w:uiPriority w:val="99"/>
    <w:unhideWhenUsed/>
    <w:qFormat/>
    <w:rPr>
      <w:color w:val="800080"/>
      <w:u w:val="single"/>
    </w:rPr>
  </w:style>
  <w:style w:type="character" w:customStyle="1" w:styleId="Enfasiforte">
    <w:name w:val="Enfasi forte"/>
    <w:basedOn w:val="Carpredefinitoparagrafo"/>
    <w:qFormat/>
    <w:rPr>
      <w:b/>
      <w:bCs/>
    </w:rPr>
  </w:style>
  <w:style w:type="character" w:customStyle="1" w:styleId="MappadocumentoCarattere">
    <w:name w:val="Mappa documento Carattere"/>
    <w:basedOn w:val="Carpredefinitoparagrafo"/>
    <w:link w:val="Mappadocumento"/>
    <w:qFormat/>
    <w:rPr>
      <w:rFonts w:ascii="Lucida Grande" w:eastAsia="ヒラギノ角ゴ Pro W3" w:hAnsi="Lucida Grande" w:cs="Lucida Grande"/>
      <w:color w:val="000000"/>
      <w:sz w:val="24"/>
      <w:szCs w:val="24"/>
      <w:lang w:eastAsia="en-US"/>
    </w:rPr>
  </w:style>
  <w:style w:type="character" w:customStyle="1" w:styleId="Titolo2Carattere1">
    <w:name w:val="Titolo 2 Carattere1"/>
    <w:basedOn w:val="Carpredefinitoparagrafo"/>
    <w:qFormat/>
    <w:rPr>
      <w:rFonts w:ascii="Cambria" w:eastAsia="Times New Roman" w:hAnsi="Cambria" w:cs="Times New Roman"/>
      <w:b/>
      <w:bCs/>
      <w:color w:val="4F81BD"/>
      <w:sz w:val="26"/>
      <w:szCs w:val="26"/>
      <w:lang w:eastAsia="en-US"/>
    </w:rPr>
  </w:style>
  <w:style w:type="character" w:customStyle="1" w:styleId="Collegamentovisitato2">
    <w:name w:val="Collegamento visitato2"/>
    <w:basedOn w:val="Carpredefinitoparagrafo"/>
    <w:qFormat/>
    <w:rPr>
      <w:color w:val="800080"/>
      <w:u w:val="single"/>
    </w:rPr>
  </w:style>
  <w:style w:type="character" w:customStyle="1" w:styleId="Titolo4Carattere1">
    <w:name w:val="Titolo 4 Carattere1"/>
    <w:basedOn w:val="Carpredefinitoparagrafo"/>
    <w:uiPriority w:val="9"/>
    <w:semiHidden/>
    <w:qFormat/>
    <w:rPr>
      <w:rFonts w:asciiTheme="majorHAnsi" w:eastAsiaTheme="majorEastAsia" w:hAnsiTheme="majorHAnsi" w:cstheme="majorBidi"/>
      <w:i/>
      <w:iCs/>
      <w:color w:val="2E74B5" w:themeColor="accent1" w:themeShade="BF"/>
    </w:rPr>
  </w:style>
  <w:style w:type="character" w:customStyle="1" w:styleId="Titolo8Carattere1">
    <w:name w:val="Titolo 8 Carattere1"/>
    <w:basedOn w:val="Carpredefinitoparagrafo"/>
    <w:uiPriority w:val="9"/>
    <w:semiHidden/>
    <w:qFormat/>
    <w:rPr>
      <w:rFonts w:asciiTheme="majorHAnsi" w:eastAsiaTheme="majorEastAsia" w:hAnsiTheme="majorHAnsi" w:cstheme="majorBidi"/>
      <w:color w:val="262626" w:themeColor="text1" w:themeTint="D9"/>
      <w:sz w:val="21"/>
      <w:szCs w:val="21"/>
    </w:rPr>
  </w:style>
  <w:style w:type="character" w:customStyle="1" w:styleId="Titolo9Carattere1">
    <w:name w:val="Titolo 9 Carattere1"/>
    <w:basedOn w:val="Carpredefinitoparagrafo"/>
    <w:uiPriority w:val="9"/>
    <w:semiHidden/>
    <w:qFormat/>
    <w:rPr>
      <w:rFonts w:asciiTheme="majorHAnsi" w:eastAsiaTheme="majorEastAsia" w:hAnsiTheme="majorHAnsi" w:cstheme="majorBidi"/>
      <w:i/>
      <w:iCs/>
      <w:color w:val="262626" w:themeColor="text1" w:themeTint="D9"/>
      <w:sz w:val="21"/>
      <w:szCs w:val="21"/>
    </w:rPr>
  </w:style>
  <w:style w:type="character" w:customStyle="1" w:styleId="CorpotestoCarattere1">
    <w:name w:val="Corpo testo Carattere1"/>
    <w:basedOn w:val="Carpredefinitoparagrafo"/>
    <w:uiPriority w:val="99"/>
    <w:semiHidden/>
    <w:qFormat/>
    <w:rPr>
      <w:rFonts w:ascii="Times New Roman" w:eastAsia="Times New Roman" w:hAnsi="Times New Roman" w:cs="Times New Roman"/>
      <w:sz w:val="20"/>
      <w:szCs w:val="20"/>
      <w:lang w:eastAsia="it-IT"/>
    </w:rPr>
  </w:style>
  <w:style w:type="character" w:customStyle="1" w:styleId="Caratterenotaapidipagina">
    <w:name w:val="Carattere nota a piè di pagina"/>
    <w:qFormat/>
    <w:rPr>
      <w:vertAlign w:val="superscript"/>
    </w:rPr>
  </w:style>
  <w:style w:type="character" w:customStyle="1" w:styleId="Caratterenotadichiusura">
    <w:name w:val="Carattere nota di chiusura"/>
    <w:qFormat/>
  </w:style>
  <w:style w:type="character" w:customStyle="1" w:styleId="Rimandonotaapidipagina1">
    <w:name w:val="Rimando nota a piè di pagina1"/>
    <w:qFormat/>
    <w:rPr>
      <w:vertAlign w:val="superscript"/>
    </w:rPr>
  </w:style>
  <w:style w:type="character" w:customStyle="1" w:styleId="Caratteredellanota">
    <w:name w:val="Carattere della nota"/>
    <w:qFormat/>
    <w:rPr>
      <w:vertAlign w:val="superscript"/>
    </w:rPr>
  </w:style>
  <w:style w:type="character" w:customStyle="1" w:styleId="Carpredefinitoparagrafo5">
    <w:name w:val="Car. predefinito paragrafo5"/>
    <w:qFormat/>
  </w:style>
  <w:style w:type="character" w:customStyle="1" w:styleId="Carpredefinitoparagrafo4">
    <w:name w:val="Car. predefinito paragrafo4"/>
    <w:qFormat/>
  </w:style>
  <w:style w:type="character" w:customStyle="1" w:styleId="Carpredefinitoparagrafo3">
    <w:name w:val="Car. predefinito paragrafo3"/>
    <w:qFormat/>
  </w:style>
  <w:style w:type="character" w:customStyle="1" w:styleId="Carpredefinitoparagrafo2">
    <w:name w:val="Car. predefinito paragrafo2"/>
    <w:qFormat/>
  </w:style>
  <w:style w:type="character" w:customStyle="1" w:styleId="Carpredefinitoparagrafo6">
    <w:name w:val="Car. predefinito paragrafo6"/>
    <w:qFormat/>
  </w:style>
  <w:style w:type="character" w:customStyle="1" w:styleId="Heading1Char">
    <w:name w:val="Heading 1 Char"/>
    <w:basedOn w:val="Carpredefinitoparagrafo6"/>
    <w:qFormat/>
    <w:rPr>
      <w:rFonts w:ascii="Cambria" w:hAnsi="Cambria" w:cs="Times New Roman"/>
      <w:b/>
      <w:bCs/>
      <w:sz w:val="32"/>
      <w:szCs w:val="32"/>
    </w:rPr>
  </w:style>
  <w:style w:type="character" w:customStyle="1" w:styleId="Heading2Char">
    <w:name w:val="Heading 2 Char"/>
    <w:basedOn w:val="Carpredefinitoparagrafo6"/>
    <w:qFormat/>
    <w:rPr>
      <w:rFonts w:ascii="Cambria" w:hAnsi="Cambria" w:cs="Times New Roman"/>
      <w:b/>
      <w:bCs/>
      <w:i/>
      <w:iCs/>
      <w:sz w:val="28"/>
      <w:szCs w:val="28"/>
    </w:rPr>
  </w:style>
  <w:style w:type="character" w:customStyle="1" w:styleId="Heading3Char">
    <w:name w:val="Heading 3 Char"/>
    <w:basedOn w:val="Carpredefinitoparagrafo6"/>
    <w:qFormat/>
    <w:rPr>
      <w:rFonts w:ascii="Cambria" w:hAnsi="Cambria" w:cs="Mangal"/>
      <w:b/>
      <w:bCs/>
      <w:color w:val="4F81BD"/>
      <w:sz w:val="21"/>
      <w:szCs w:val="21"/>
      <w:lang w:bidi="hi-IN"/>
    </w:rPr>
  </w:style>
  <w:style w:type="character" w:customStyle="1" w:styleId="Heading4Char">
    <w:name w:val="Heading 4 Char"/>
    <w:basedOn w:val="Carpredefinitoparagrafo6"/>
    <w:qFormat/>
    <w:rPr>
      <w:rFonts w:ascii="Times New Roman" w:eastAsia="Times New Roman" w:hAnsi="Times New Roman" w:cs="Times New Roman"/>
      <w:b/>
      <w:bCs/>
      <w:sz w:val="28"/>
      <w:szCs w:val="28"/>
    </w:rPr>
  </w:style>
  <w:style w:type="character" w:customStyle="1" w:styleId="Heading5Char">
    <w:name w:val="Heading 5 Char"/>
    <w:basedOn w:val="Carpredefinitoparagrafo6"/>
    <w:qFormat/>
    <w:rPr>
      <w:rFonts w:ascii="Cambria" w:hAnsi="Cambria" w:cs="Times New Roman"/>
      <w:color w:val="243F60"/>
    </w:rPr>
  </w:style>
  <w:style w:type="character" w:customStyle="1" w:styleId="Heading6Char">
    <w:name w:val="Heading 6 Char"/>
    <w:basedOn w:val="Carpredefinitoparagrafo6"/>
    <w:qFormat/>
    <w:rPr>
      <w:rFonts w:ascii="Times New Roman" w:hAnsi="Times New Roman" w:cs="Times New Roman"/>
      <w:b/>
      <w:bCs/>
    </w:rPr>
  </w:style>
  <w:style w:type="character" w:customStyle="1" w:styleId="Heading8Char">
    <w:name w:val="Heading 8 Char"/>
    <w:basedOn w:val="Carpredefinitoparagrafo6"/>
    <w:qFormat/>
    <w:rPr>
      <w:rFonts w:ascii="Cambria" w:hAnsi="Cambria" w:cs="Times New Roman"/>
      <w:color w:val="404040"/>
      <w:sz w:val="20"/>
      <w:szCs w:val="20"/>
    </w:rPr>
  </w:style>
  <w:style w:type="character" w:customStyle="1" w:styleId="Heading9Char">
    <w:name w:val="Heading 9 Char"/>
    <w:basedOn w:val="Carpredefinitoparagrafo6"/>
    <w:qFormat/>
    <w:rPr>
      <w:rFonts w:ascii="Cambria" w:hAnsi="Cambria" w:cs="Times New Roman"/>
      <w:i/>
      <w:iCs/>
      <w:color w:val="404040"/>
      <w:sz w:val="20"/>
      <w:szCs w:val="20"/>
    </w:rPr>
  </w:style>
  <w:style w:type="character" w:customStyle="1" w:styleId="FootnoteTextChar">
    <w:name w:val="Footnote Text Char"/>
    <w:basedOn w:val="Carpredefinitoparagrafo6"/>
    <w:qFormat/>
    <w:rPr>
      <w:rFonts w:ascii="Times New Roman" w:hAnsi="Times New Roman" w:cs="Times New Roman"/>
      <w:sz w:val="20"/>
      <w:szCs w:val="20"/>
    </w:rPr>
  </w:style>
  <w:style w:type="character" w:customStyle="1" w:styleId="HeaderChar">
    <w:name w:val="Header Char"/>
    <w:basedOn w:val="Carpredefinitoparagrafo6"/>
    <w:qFormat/>
    <w:rPr>
      <w:rFonts w:ascii="Times New Roman" w:hAnsi="Times New Roman" w:cs="Times New Roman"/>
      <w:sz w:val="20"/>
      <w:szCs w:val="20"/>
    </w:rPr>
  </w:style>
  <w:style w:type="character" w:customStyle="1" w:styleId="FooterChar">
    <w:name w:val="Footer Char"/>
    <w:basedOn w:val="Carpredefinitoparagrafo6"/>
    <w:qFormat/>
    <w:rPr>
      <w:rFonts w:ascii="Times New Roman" w:hAnsi="Times New Roman" w:cs="Times New Roman"/>
      <w:sz w:val="20"/>
      <w:szCs w:val="20"/>
    </w:rPr>
  </w:style>
  <w:style w:type="character" w:customStyle="1" w:styleId="BodyText2Char">
    <w:name w:val="Body Text 2 Char"/>
    <w:basedOn w:val="Carpredefinitoparagrafo6"/>
    <w:qFormat/>
    <w:rPr>
      <w:rFonts w:ascii="Times New Roman" w:hAnsi="Times New Roman" w:cs="Times New Roman"/>
      <w:sz w:val="20"/>
      <w:szCs w:val="20"/>
    </w:rPr>
  </w:style>
  <w:style w:type="character" w:customStyle="1" w:styleId="TitleChar">
    <w:name w:val="Title Char"/>
    <w:basedOn w:val="Carpredefinitoparagrafo6"/>
    <w:qFormat/>
    <w:rPr>
      <w:rFonts w:ascii="Cambria" w:hAnsi="Cambria" w:cs="Times New Roman"/>
      <w:b/>
      <w:bCs/>
      <w:sz w:val="32"/>
      <w:szCs w:val="32"/>
    </w:rPr>
  </w:style>
  <w:style w:type="character" w:customStyle="1" w:styleId="CommentTextChar">
    <w:name w:val="Comment Text Char"/>
    <w:basedOn w:val="Carpredefinitoparagrafo6"/>
    <w:qFormat/>
    <w:rPr>
      <w:rFonts w:ascii="Times New Roman" w:hAnsi="Times New Roman" w:cs="Times New Roman"/>
      <w:sz w:val="20"/>
      <w:szCs w:val="20"/>
    </w:rPr>
  </w:style>
  <w:style w:type="character" w:customStyle="1" w:styleId="BalloonTextChar">
    <w:name w:val="Balloon Text Char"/>
    <w:basedOn w:val="Carpredefinitoparagrafo6"/>
    <w:qFormat/>
    <w:rPr>
      <w:rFonts w:ascii="Tahoma" w:hAnsi="Tahoma" w:cs="Tahoma"/>
      <w:sz w:val="16"/>
      <w:szCs w:val="16"/>
    </w:rPr>
  </w:style>
  <w:style w:type="character" w:customStyle="1" w:styleId="NormalWebChar">
    <w:name w:val="Normal (Web) Char"/>
    <w:qFormat/>
    <w:rPr>
      <w:sz w:val="24"/>
    </w:rPr>
  </w:style>
  <w:style w:type="character" w:customStyle="1" w:styleId="Enfasigrassetto1">
    <w:name w:val="Enfasi (grassetto)1"/>
    <w:basedOn w:val="Carpredefinitoparagrafo6"/>
    <w:qFormat/>
    <w:rPr>
      <w:rFonts w:ascii="Times New Roman" w:hAnsi="Times New Roman" w:cs="Times New Roman"/>
      <w:b/>
    </w:rPr>
  </w:style>
  <w:style w:type="character" w:customStyle="1" w:styleId="BodyTextChar">
    <w:name w:val="Body Text Char"/>
    <w:basedOn w:val="Carpredefinitoparagrafo6"/>
    <w:qFormat/>
    <w:rPr>
      <w:rFonts w:ascii="Times New Roman" w:hAnsi="Times New Roman" w:cs="Times New Roman"/>
      <w:sz w:val="24"/>
      <w:szCs w:val="24"/>
      <w:lang w:bidi="ar-SA"/>
    </w:rPr>
  </w:style>
  <w:style w:type="character" w:customStyle="1" w:styleId="Enfasiintensa10">
    <w:name w:val="Enfasi intensa1"/>
    <w:basedOn w:val="Carpredefinitoparagrafo6"/>
    <w:qFormat/>
    <w:rPr>
      <w:rFonts w:ascii="Times New Roman" w:hAnsi="Times New Roman" w:cs="Times New Roman"/>
      <w:b/>
      <w:i/>
      <w:color w:val="4F81BD"/>
    </w:rPr>
  </w:style>
  <w:style w:type="character" w:customStyle="1" w:styleId="Rimandocommento2">
    <w:name w:val="Rimando commento2"/>
    <w:basedOn w:val="Carpredefinitoparagrafo6"/>
    <w:qFormat/>
    <w:rPr>
      <w:rFonts w:ascii="Times New Roman" w:hAnsi="Times New Roman" w:cs="Times New Roman"/>
      <w:sz w:val="16"/>
      <w:szCs w:val="16"/>
    </w:rPr>
  </w:style>
  <w:style w:type="character" w:customStyle="1" w:styleId="CommentSubjectChar">
    <w:name w:val="Comment Subject Char"/>
    <w:qFormat/>
    <w:rPr>
      <w:rFonts w:ascii="Verdana" w:hAnsi="Verdana" w:cs="Verdana"/>
      <w:b/>
      <w:sz w:val="20"/>
    </w:rPr>
  </w:style>
  <w:style w:type="character" w:customStyle="1" w:styleId="PlainTextChar">
    <w:name w:val="Plain Text Char"/>
    <w:basedOn w:val="Carpredefinitoparagrafo6"/>
    <w:qFormat/>
    <w:rPr>
      <w:rFonts w:ascii="Courier New" w:hAnsi="Courier New" w:cs="Times New Roman"/>
      <w:sz w:val="20"/>
      <w:szCs w:val="20"/>
    </w:rPr>
  </w:style>
  <w:style w:type="character" w:customStyle="1" w:styleId="SubtitleChar">
    <w:name w:val="Subtitle Char"/>
    <w:qFormat/>
    <w:rPr>
      <w:rFonts w:ascii="Cambria" w:hAnsi="Cambria" w:cs="Cambria"/>
      <w:i/>
      <w:color w:val="4F81BD"/>
      <w:spacing w:val="15"/>
      <w:sz w:val="24"/>
    </w:rPr>
  </w:style>
  <w:style w:type="character" w:customStyle="1" w:styleId="CommentSubjectChar1">
    <w:name w:val="Comment Subject Char1"/>
    <w:basedOn w:val="CommentTextChar"/>
    <w:qFormat/>
    <w:rPr>
      <w:rFonts w:ascii="Times New Roman" w:hAnsi="Times New Roman" w:cs="Times New Roman"/>
      <w:b/>
      <w:bCs/>
      <w:sz w:val="20"/>
      <w:szCs w:val="20"/>
    </w:rPr>
  </w:style>
  <w:style w:type="character" w:customStyle="1" w:styleId="SubtitleChar1">
    <w:name w:val="Subtitle Char1"/>
    <w:basedOn w:val="Carpredefinitoparagrafo6"/>
    <w:qFormat/>
    <w:rPr>
      <w:rFonts w:ascii="Cambria" w:hAnsi="Cambria" w:cs="Times New Roman"/>
      <w:sz w:val="24"/>
      <w:szCs w:val="24"/>
    </w:rPr>
  </w:style>
  <w:style w:type="character" w:customStyle="1" w:styleId="z-TopofFormChar">
    <w:name w:val="z-Top of Form Char"/>
    <w:basedOn w:val="Carpredefinitoparagrafo6"/>
    <w:qFormat/>
    <w:rPr>
      <w:rFonts w:ascii="Arial" w:hAnsi="Arial" w:cs="Times New Roman"/>
      <w:sz w:val="16"/>
      <w:szCs w:val="16"/>
      <w:lang w:bidi="hi-IN"/>
    </w:rPr>
  </w:style>
  <w:style w:type="character" w:customStyle="1" w:styleId="z-BottomofFormChar">
    <w:name w:val="z-Bottom of Form Char"/>
    <w:basedOn w:val="Carpredefinitoparagrafo6"/>
    <w:qFormat/>
    <w:rPr>
      <w:rFonts w:ascii="Arial" w:hAnsi="Arial" w:cs="Times New Roman"/>
      <w:sz w:val="16"/>
      <w:szCs w:val="16"/>
      <w:lang w:bidi="hi-IN"/>
    </w:rPr>
  </w:style>
  <w:style w:type="character" w:customStyle="1" w:styleId="Rimandonotadichiusura1">
    <w:name w:val="Rimando nota di chiusura1"/>
    <w:basedOn w:val="Carpredefinitoparagrafo6"/>
    <w:qFormat/>
    <w:rPr>
      <w:rFonts w:ascii="Times New Roman" w:hAnsi="Times New Roman" w:cs="Times New Roman"/>
      <w:vertAlign w:val="superscript"/>
    </w:rPr>
  </w:style>
  <w:style w:type="character" w:customStyle="1" w:styleId="Collegamentovisitato3">
    <w:name w:val="Collegamento visitato3"/>
    <w:basedOn w:val="Carpredefinitoparagrafo6"/>
    <w:qFormat/>
    <w:rPr>
      <w:rFonts w:ascii="Times New Roman" w:hAnsi="Times New Roman" w:cs="Times New Roman"/>
      <w:color w:val="800080"/>
      <w:u w:val="single"/>
    </w:rPr>
  </w:style>
  <w:style w:type="character" w:customStyle="1" w:styleId="DocumentMapChar">
    <w:name w:val="Document Map Char"/>
    <w:basedOn w:val="Carpredefinitoparagrafo6"/>
    <w:qFormat/>
    <w:rPr>
      <w:rFonts w:ascii="Lucida Grande" w:hAnsi="Lucida Grande" w:cs="Lucida Grande"/>
      <w:color w:val="000000"/>
      <w:sz w:val="24"/>
      <w:szCs w:val="24"/>
    </w:rPr>
  </w:style>
  <w:style w:type="character" w:customStyle="1" w:styleId="NessunaspaziaturaCarattere">
    <w:name w:val="Nessuna spaziatura Carattere"/>
    <w:link w:val="Nessunaspaziatura1"/>
    <w:uiPriority w:val="1"/>
    <w:qFormat/>
    <w:rPr>
      <w:rFonts w:ascii="Calibri" w:hAnsi="Calibri"/>
      <w:sz w:val="22"/>
      <w:szCs w:val="22"/>
      <w:lang w:eastAsia="en-US"/>
    </w:rPr>
  </w:style>
  <w:style w:type="paragraph" w:customStyle="1" w:styleId="Nessunaspaziatura1">
    <w:name w:val="Nessuna spaziatura1"/>
    <w:link w:val="NessunaspaziaturaCarattere"/>
    <w:uiPriority w:val="1"/>
    <w:qFormat/>
    <w:rPr>
      <w:rFonts w:ascii="Calibri" w:eastAsia="Times New Roman" w:hAnsi="Calibri"/>
      <w:sz w:val="22"/>
      <w:szCs w:val="22"/>
      <w:lang w:eastAsia="en-US"/>
    </w:rPr>
  </w:style>
  <w:style w:type="character" w:customStyle="1" w:styleId="apple-converted-space">
    <w:name w:val="apple-converted-space"/>
    <w:basedOn w:val="Carpredefinitoparagrafo"/>
    <w:qFormat/>
  </w:style>
  <w:style w:type="character" w:customStyle="1" w:styleId="ListLabel5">
    <w:name w:val="ListLabel 5"/>
    <w:qFormat/>
    <w:rPr>
      <w:rFonts w:cs="Times New Roman"/>
    </w:rPr>
  </w:style>
  <w:style w:type="character" w:customStyle="1" w:styleId="ListLabel6">
    <w:name w:val="ListLabel 6"/>
    <w:qFormat/>
    <w:rPr>
      <w:rFonts w:cs="Courier New"/>
    </w:rPr>
  </w:style>
  <w:style w:type="character" w:customStyle="1" w:styleId="ListLabel7">
    <w:name w:val="ListLabel 7"/>
    <w:qFormat/>
    <w:rPr>
      <w:sz w:val="20"/>
    </w:rPr>
  </w:style>
  <w:style w:type="character" w:customStyle="1" w:styleId="Saltoaindice">
    <w:name w:val="Salto a indice"/>
    <w:qFormat/>
  </w:style>
  <w:style w:type="character" w:customStyle="1" w:styleId="Richiamoallanotaapidipagina">
    <w:name w:val="Richiamo alla nota a piè di pagina"/>
    <w:rPr>
      <w:vertAlign w:val="superscript"/>
    </w:rPr>
  </w:style>
  <w:style w:type="character" w:customStyle="1" w:styleId="Richiamoallanotadichiusura">
    <w:name w:val="Richiamo alla nota di chiusura"/>
    <w:rPr>
      <w:vertAlign w:val="superscript"/>
    </w:rPr>
  </w:style>
  <w:style w:type="paragraph" w:customStyle="1" w:styleId="Indice">
    <w:name w:val="Indice"/>
    <w:basedOn w:val="Normale"/>
    <w:qFormat/>
    <w:pPr>
      <w:suppressLineNumbers/>
    </w:pPr>
  </w:style>
  <w:style w:type="paragraph" w:customStyle="1" w:styleId="Intestazione3">
    <w:name w:val="Intestazione3"/>
    <w:basedOn w:val="Normale"/>
    <w:qFormat/>
    <w:pPr>
      <w:keepNext/>
      <w:spacing w:before="240" w:after="120"/>
    </w:pPr>
    <w:rPr>
      <w:rFonts w:ascii="Arial" w:eastAsia="Arial Unicode MS" w:hAnsi="Arial" w:cs="Mangal"/>
      <w:sz w:val="28"/>
      <w:szCs w:val="28"/>
    </w:rPr>
  </w:style>
  <w:style w:type="paragraph" w:customStyle="1" w:styleId="Didascalia3">
    <w:name w:val="Didascalia3"/>
    <w:basedOn w:val="Normale"/>
    <w:qFormat/>
    <w:pPr>
      <w:suppressLineNumbers/>
      <w:spacing w:after="120"/>
    </w:pPr>
    <w:rPr>
      <w:rFonts w:cs="Mangal"/>
      <w:i/>
      <w:iCs/>
      <w:sz w:val="24"/>
      <w:szCs w:val="24"/>
    </w:rPr>
  </w:style>
  <w:style w:type="paragraph" w:customStyle="1" w:styleId="Intestazione2">
    <w:name w:val="Intestazione2"/>
    <w:basedOn w:val="Normale"/>
    <w:qFormat/>
    <w:pPr>
      <w:keepNext/>
      <w:spacing w:before="240" w:after="120"/>
    </w:pPr>
    <w:rPr>
      <w:rFonts w:ascii="Arial" w:eastAsia="Arial Unicode MS" w:hAnsi="Arial" w:cs="Mangal"/>
      <w:sz w:val="28"/>
      <w:szCs w:val="28"/>
    </w:rPr>
  </w:style>
  <w:style w:type="paragraph" w:customStyle="1" w:styleId="Didascalia2">
    <w:name w:val="Didascalia2"/>
    <w:basedOn w:val="Normale"/>
    <w:qFormat/>
    <w:pPr>
      <w:suppressLineNumbers/>
      <w:spacing w:after="120"/>
    </w:pPr>
    <w:rPr>
      <w:rFonts w:cs="Mangal"/>
      <w:i/>
      <w:iCs/>
      <w:sz w:val="24"/>
      <w:szCs w:val="24"/>
    </w:rPr>
  </w:style>
  <w:style w:type="paragraph" w:customStyle="1" w:styleId="Didascalia1">
    <w:name w:val="Didascalia1"/>
    <w:basedOn w:val="Normale"/>
    <w:qFormat/>
    <w:pPr>
      <w:suppressLineNumbers/>
      <w:spacing w:after="120"/>
    </w:pPr>
    <w:rPr>
      <w:i/>
      <w:sz w:val="24"/>
    </w:rPr>
  </w:style>
  <w:style w:type="paragraph" w:customStyle="1" w:styleId="ListParagraph1">
    <w:name w:val="List Paragraph1"/>
    <w:basedOn w:val="Normale"/>
    <w:qFormat/>
    <w:pPr>
      <w:ind w:left="720"/>
    </w:pPr>
  </w:style>
  <w:style w:type="paragraph" w:customStyle="1" w:styleId="BalloonText1">
    <w:name w:val="Balloon Text1"/>
    <w:basedOn w:val="Normale"/>
    <w:qFormat/>
    <w:pPr>
      <w:spacing w:before="0"/>
    </w:pPr>
    <w:rPr>
      <w:rFonts w:ascii="Tahoma" w:hAnsi="Tahoma" w:cs="Tahoma"/>
      <w:sz w:val="16"/>
    </w:rPr>
  </w:style>
  <w:style w:type="paragraph" w:customStyle="1" w:styleId="Titoloprincipale">
    <w:name w:val="Titolo principale"/>
    <w:basedOn w:val="Normale"/>
    <w:next w:val="Sottotitolo"/>
    <w:qFormat/>
    <w:pPr>
      <w:pBdr>
        <w:bottom w:val="single" w:sz="4" w:space="4" w:color="808080"/>
      </w:pBdr>
      <w:spacing w:before="0" w:after="300"/>
      <w:jc w:val="both"/>
    </w:pPr>
    <w:rPr>
      <w:rFonts w:ascii="Cambria" w:hAnsi="Cambria" w:cs="Cambria"/>
      <w:b/>
      <w:color w:val="000080"/>
      <w:spacing w:val="5"/>
      <w:sz w:val="52"/>
    </w:rPr>
  </w:style>
  <w:style w:type="paragraph" w:customStyle="1" w:styleId="NormalWeb1">
    <w:name w:val="Normal (Web)1"/>
    <w:basedOn w:val="Normale"/>
    <w:qFormat/>
    <w:pPr>
      <w:spacing w:before="100" w:after="100"/>
    </w:pPr>
    <w:rPr>
      <w:rFonts w:ascii="Times New Roman" w:hAnsi="Times New Roman" w:cs="Times New Roman"/>
      <w:sz w:val="24"/>
    </w:rPr>
  </w:style>
  <w:style w:type="paragraph" w:customStyle="1" w:styleId="Default">
    <w:name w:val="Default"/>
    <w:qFormat/>
    <w:pPr>
      <w:suppressAutoHyphens/>
    </w:pPr>
    <w:rPr>
      <w:rFonts w:eastAsia="Times New Roman"/>
      <w:color w:val="000000"/>
      <w:sz w:val="24"/>
      <w:lang w:eastAsia="hi-IN" w:bidi="hi-IN"/>
    </w:rPr>
  </w:style>
  <w:style w:type="paragraph" w:customStyle="1" w:styleId="TOCI">
    <w:name w:val="TOCI"/>
    <w:basedOn w:val="Default"/>
    <w:qFormat/>
    <w:rPr>
      <w:rFonts w:ascii="Century Gothic" w:hAnsi="Century Gothic" w:cs="Century Gothic"/>
    </w:rPr>
  </w:style>
  <w:style w:type="paragraph" w:customStyle="1" w:styleId="Contenutotabella">
    <w:name w:val="Contenuto tabella"/>
    <w:basedOn w:val="Normale"/>
    <w:qFormat/>
    <w:pPr>
      <w:suppressLineNumbers/>
      <w:spacing w:before="0" w:after="200"/>
    </w:pPr>
    <w:rPr>
      <w:rFonts w:ascii="Cambria" w:hAnsi="Cambria" w:cs="Cambria"/>
      <w:sz w:val="24"/>
    </w:rPr>
  </w:style>
  <w:style w:type="paragraph" w:customStyle="1" w:styleId="Paragrafoelenco1">
    <w:name w:val="Paragrafo elenco1"/>
    <w:basedOn w:val="Normale"/>
    <w:qFormat/>
    <w:pPr>
      <w:ind w:left="708"/>
    </w:pPr>
    <w:rPr>
      <w:rFonts w:cs="Mangal"/>
    </w:rPr>
  </w:style>
  <w:style w:type="paragraph" w:customStyle="1" w:styleId="Intestazionetabella">
    <w:name w:val="Intestazione tabella"/>
    <w:basedOn w:val="Contenutotabella"/>
    <w:qFormat/>
    <w:pPr>
      <w:jc w:val="center"/>
    </w:pPr>
    <w:rPr>
      <w:b/>
      <w:bCs/>
    </w:rPr>
  </w:style>
  <w:style w:type="paragraph" w:customStyle="1" w:styleId="Revisione1">
    <w:name w:val="Revisione1"/>
    <w:qFormat/>
    <w:rPr>
      <w:rFonts w:ascii="Calibri" w:eastAsia="Times New Roman" w:hAnsi="Calibri" w:cs="Mangal"/>
      <w:sz w:val="22"/>
      <w:lang w:eastAsia="hi-IN" w:bidi="hi-IN"/>
    </w:rPr>
  </w:style>
  <w:style w:type="paragraph" w:customStyle="1" w:styleId="Paragrafoelenco2">
    <w:name w:val="Paragrafo elenco2"/>
    <w:basedOn w:val="Normale"/>
    <w:uiPriority w:val="99"/>
    <w:qFormat/>
    <w:pPr>
      <w:suppressAutoHyphens w:val="0"/>
      <w:spacing w:before="0"/>
      <w:ind w:left="720"/>
      <w:contextualSpacing/>
    </w:pPr>
    <w:rPr>
      <w:rFonts w:ascii="Times New Roman" w:hAnsi="Times New Roman" w:cs="Times New Roman"/>
      <w:sz w:val="20"/>
      <w:lang w:eastAsia="it-IT" w:bidi="ar-SA"/>
    </w:rPr>
  </w:style>
  <w:style w:type="paragraph" w:customStyle="1" w:styleId="StileProva">
    <w:name w:val="StileProva"/>
    <w:basedOn w:val="Normale"/>
    <w:qFormat/>
    <w:pPr>
      <w:suppressAutoHyphens w:val="0"/>
      <w:spacing w:before="0"/>
      <w:jc w:val="both"/>
    </w:pPr>
    <w:rPr>
      <w:rFonts w:ascii="Trebuchet MS" w:hAnsi="Trebuchet MS" w:cs="Times New Roman"/>
      <w:color w:val="000000"/>
      <w:sz w:val="16"/>
      <w:szCs w:val="16"/>
      <w:lang w:eastAsia="it-IT" w:bidi="ar-SA"/>
    </w:rPr>
  </w:style>
  <w:style w:type="paragraph" w:customStyle="1" w:styleId="01Titolocapitolo00">
    <w:name w:val="01_Titolo capitolo 0.0"/>
    <w:basedOn w:val="Normale"/>
    <w:qFormat/>
    <w:pPr>
      <w:widowControl w:val="0"/>
      <w:suppressAutoHyphens w:val="0"/>
      <w:spacing w:before="0" w:line="240" w:lineRule="atLeast"/>
      <w:ind w:left="567"/>
    </w:pPr>
    <w:rPr>
      <w:rFonts w:ascii="Times New Roman MT Std Bd" w:hAnsi="Times New Roman MT Std Bd" w:cs="Times New Roman"/>
      <w:color w:val="008080"/>
      <w:sz w:val="40"/>
      <w:szCs w:val="40"/>
      <w:lang w:eastAsia="it-IT" w:bidi="ar-SA"/>
    </w:rPr>
  </w:style>
  <w:style w:type="paragraph" w:customStyle="1" w:styleId="02Colonnadatigrassetto">
    <w:name w:val="02_Colonna dati grassetto"/>
    <w:basedOn w:val="Normale"/>
    <w:uiPriority w:val="99"/>
    <w:qFormat/>
    <w:pPr>
      <w:widowControl w:val="0"/>
      <w:suppressAutoHyphens w:val="0"/>
      <w:spacing w:before="0" w:line="180" w:lineRule="atLeast"/>
      <w:jc w:val="center"/>
    </w:pPr>
    <w:rPr>
      <w:rFonts w:ascii="Arial" w:hAnsi="Arial" w:cs="Arial"/>
      <w:b/>
      <w:bCs/>
      <w:i/>
      <w:iCs/>
      <w:color w:val="000000"/>
      <w:sz w:val="18"/>
      <w:szCs w:val="18"/>
      <w:lang w:eastAsia="it-IT" w:bidi="ar-SA"/>
    </w:rPr>
  </w:style>
  <w:style w:type="paragraph" w:customStyle="1" w:styleId="01SottotitoloCapitolo00">
    <w:name w:val="01_Sottotitolo_Capitolo_0.0"/>
    <w:basedOn w:val="01Titolocapitolo00"/>
    <w:qFormat/>
    <w:pPr>
      <w:ind w:left="1134"/>
    </w:pPr>
    <w:rPr>
      <w:sz w:val="24"/>
      <w:szCs w:val="24"/>
    </w:rPr>
  </w:style>
  <w:style w:type="paragraph" w:customStyle="1" w:styleId="Standard">
    <w:name w:val="Standard"/>
    <w:qFormat/>
    <w:pPr>
      <w:suppressAutoHyphens/>
      <w:textAlignment w:val="baseline"/>
    </w:pPr>
    <w:rPr>
      <w:rFonts w:ascii="Calibri" w:eastAsia="SimSun" w:hAnsi="Calibri" w:cs="Calibri"/>
      <w:sz w:val="22"/>
      <w:szCs w:val="22"/>
      <w:lang w:eastAsia="en-US"/>
    </w:rPr>
  </w:style>
  <w:style w:type="paragraph" w:customStyle="1" w:styleId="Soggettocommento1">
    <w:name w:val="Soggetto commento1"/>
    <w:basedOn w:val="Testocommento"/>
    <w:uiPriority w:val="99"/>
    <w:unhideWhenUsed/>
    <w:qFormat/>
    <w:pPr>
      <w:suppressAutoHyphens w:val="0"/>
      <w:spacing w:before="0"/>
    </w:pPr>
    <w:rPr>
      <w:rFonts w:eastAsia="Calibri" w:cs="Times New Roman"/>
      <w:b/>
      <w:bCs/>
      <w:szCs w:val="20"/>
      <w:lang w:eastAsia="en-US" w:bidi="ar-SA"/>
    </w:rPr>
  </w:style>
  <w:style w:type="paragraph" w:customStyle="1" w:styleId="Corpotesto1">
    <w:name w:val="Corpo testo1"/>
    <w:basedOn w:val="Normale"/>
    <w:qFormat/>
    <w:pPr>
      <w:widowControl w:val="0"/>
      <w:spacing w:before="0" w:after="120"/>
    </w:pPr>
    <w:rPr>
      <w:rFonts w:ascii="Arial" w:hAnsi="Arial" w:cs="Arial"/>
      <w:sz w:val="24"/>
      <w:szCs w:val="24"/>
      <w:lang w:eastAsia="ar-SA" w:bidi="ar-SA"/>
    </w:rPr>
  </w:style>
  <w:style w:type="paragraph" w:customStyle="1" w:styleId="Sottotitolo1">
    <w:name w:val="Sottotitolo1"/>
    <w:basedOn w:val="Normale"/>
    <w:uiPriority w:val="11"/>
    <w:qFormat/>
    <w:pPr>
      <w:suppressAutoHyphens w:val="0"/>
      <w:spacing w:before="0"/>
    </w:pPr>
    <w:rPr>
      <w:rFonts w:ascii="Cambria" w:hAnsi="Cambria" w:cs="Times New Roman"/>
      <w:i/>
      <w:iCs/>
      <w:color w:val="4F81BD"/>
      <w:spacing w:val="15"/>
      <w:sz w:val="24"/>
      <w:szCs w:val="24"/>
      <w:lang w:eastAsia="it-IT" w:bidi="ar-SA"/>
    </w:rPr>
  </w:style>
  <w:style w:type="paragraph" w:customStyle="1" w:styleId="Titolo3Verdana">
    <w:name w:val="Titolo 3 + Verdana"/>
    <w:basedOn w:val="Titolo1"/>
    <w:qFormat/>
    <w:pPr>
      <w:keepLines w:val="0"/>
      <w:numPr>
        <w:numId w:val="0"/>
      </w:numPr>
      <w:suppressAutoHyphens w:val="0"/>
      <w:spacing w:before="120" w:after="120" w:line="360" w:lineRule="auto"/>
      <w:jc w:val="both"/>
    </w:pPr>
    <w:rPr>
      <w:rFonts w:ascii="Verdana" w:hAnsi="Verdana" w:cs="Times New Roman"/>
      <w:bCs/>
      <w:smallCaps w:val="0"/>
      <w:sz w:val="24"/>
      <w:szCs w:val="24"/>
      <w:lang w:val="zh-CN" w:eastAsia="zh-CN" w:bidi="ar-SA"/>
    </w:rPr>
  </w:style>
  <w:style w:type="paragraph" w:customStyle="1" w:styleId="Titolotabella">
    <w:name w:val="Titolo tabella"/>
    <w:basedOn w:val="Contenutotabella"/>
    <w:qFormat/>
    <w:pPr>
      <w:spacing w:after="0"/>
      <w:jc w:val="center"/>
    </w:pPr>
    <w:rPr>
      <w:rFonts w:ascii="Times New Roman" w:hAnsi="Times New Roman" w:cs="Times New Roman"/>
      <w:b/>
      <w:bCs/>
      <w:szCs w:val="24"/>
      <w:lang w:eastAsia="zh-CN" w:bidi="ar-SA"/>
    </w:rPr>
  </w:style>
  <w:style w:type="paragraph" w:customStyle="1" w:styleId="Revisione2">
    <w:name w:val="Revisione2"/>
    <w:uiPriority w:val="99"/>
    <w:semiHidden/>
    <w:qFormat/>
    <w:rPr>
      <w:rFonts w:eastAsia="Times New Roman"/>
      <w:sz w:val="22"/>
    </w:rPr>
  </w:style>
  <w:style w:type="paragraph" w:customStyle="1" w:styleId="Iniziomodulo-z1">
    <w:name w:val="Inizio modulo -z1"/>
    <w:basedOn w:val="Normale"/>
    <w:uiPriority w:val="99"/>
    <w:unhideWhenUsed/>
    <w:qFormat/>
    <w:pPr>
      <w:pBdr>
        <w:bottom w:val="single" w:sz="6" w:space="1" w:color="00000A"/>
      </w:pBdr>
      <w:suppressAutoHyphens w:val="0"/>
      <w:spacing w:before="0"/>
      <w:jc w:val="center"/>
    </w:pPr>
    <w:rPr>
      <w:rFonts w:ascii="Arial" w:hAnsi="Arial" w:cs="Times New Roman"/>
      <w:vanish/>
      <w:sz w:val="16"/>
      <w:szCs w:val="16"/>
      <w:lang w:bidi="ar-SA"/>
    </w:rPr>
  </w:style>
  <w:style w:type="paragraph" w:customStyle="1" w:styleId="Finemodulo-z1">
    <w:name w:val="Fine modulo -z1"/>
    <w:basedOn w:val="Normale"/>
    <w:uiPriority w:val="99"/>
    <w:unhideWhenUsed/>
    <w:qFormat/>
    <w:pPr>
      <w:pBdr>
        <w:top w:val="single" w:sz="6" w:space="1" w:color="00000A"/>
      </w:pBdr>
      <w:suppressAutoHyphens w:val="0"/>
      <w:spacing w:before="0"/>
      <w:jc w:val="center"/>
    </w:pPr>
    <w:rPr>
      <w:rFonts w:ascii="Arial" w:hAnsi="Arial" w:cs="Times New Roman"/>
      <w:vanish/>
      <w:sz w:val="16"/>
      <w:szCs w:val="16"/>
      <w:lang w:bidi="ar-SA"/>
    </w:rPr>
  </w:style>
  <w:style w:type="paragraph" w:customStyle="1" w:styleId="Corpodeltesto21">
    <w:name w:val="Corpo del testo 21"/>
    <w:basedOn w:val="Normale"/>
    <w:qFormat/>
    <w:pPr>
      <w:spacing w:before="0"/>
      <w:jc w:val="both"/>
    </w:pPr>
    <w:rPr>
      <w:rFonts w:ascii="Times New Roman" w:hAnsi="Times New Roman" w:cs="Times New Roman"/>
      <w:sz w:val="32"/>
      <w:szCs w:val="24"/>
      <w:lang w:eastAsia="ar-SA" w:bidi="ar-SA"/>
    </w:rPr>
  </w:style>
  <w:style w:type="paragraph" w:customStyle="1" w:styleId="viewpar">
    <w:name w:val="viewpar"/>
    <w:basedOn w:val="Normale"/>
    <w:qFormat/>
    <w:pPr>
      <w:suppressAutoHyphens w:val="0"/>
      <w:spacing w:beforeAutospacing="1" w:afterAutospacing="1"/>
    </w:pPr>
    <w:rPr>
      <w:rFonts w:ascii="Times New Roman" w:hAnsi="Times New Roman" w:cs="Times New Roman"/>
      <w:sz w:val="24"/>
      <w:szCs w:val="24"/>
      <w:lang w:eastAsia="it-IT" w:bidi="ar-SA"/>
    </w:rPr>
  </w:style>
  <w:style w:type="paragraph" w:customStyle="1" w:styleId="Titolosommario1">
    <w:name w:val="Titolo sommario1"/>
    <w:basedOn w:val="Titolo1"/>
    <w:uiPriority w:val="39"/>
    <w:unhideWhenUsed/>
    <w:qFormat/>
    <w:pPr>
      <w:numPr>
        <w:numId w:val="0"/>
      </w:numPr>
      <w:suppressAutoHyphens w:val="0"/>
      <w:spacing w:line="276" w:lineRule="auto"/>
      <w:jc w:val="left"/>
    </w:pPr>
    <w:rPr>
      <w:rFonts w:cs="Times New Roman"/>
      <w:bCs/>
      <w:smallCaps w:val="0"/>
      <w:color w:val="365F91"/>
      <w:sz w:val="28"/>
      <w:szCs w:val="28"/>
      <w:lang w:eastAsia="it-IT" w:bidi="ar-SA"/>
    </w:rPr>
  </w:style>
  <w:style w:type="paragraph" w:customStyle="1" w:styleId="Testonormale1">
    <w:name w:val="Testo normale1"/>
    <w:basedOn w:val="Normale"/>
    <w:qFormat/>
    <w:pPr>
      <w:spacing w:before="0" w:after="200" w:line="276" w:lineRule="auto"/>
    </w:pPr>
    <w:rPr>
      <w:rFonts w:ascii="Courier New" w:eastAsia="Calibri" w:hAnsi="Courier New" w:cs="Courier New"/>
      <w:sz w:val="20"/>
      <w:szCs w:val="22"/>
      <w:lang w:eastAsia="ar-SA" w:bidi="ar-SA"/>
    </w:rPr>
  </w:style>
  <w:style w:type="paragraph" w:customStyle="1" w:styleId="Textbody">
    <w:name w:val="Text body"/>
    <w:basedOn w:val="Standard"/>
    <w:qFormat/>
    <w:pPr>
      <w:jc w:val="center"/>
    </w:pPr>
    <w:rPr>
      <w:rFonts w:ascii="Times New Roman" w:eastAsia="Times New Roman" w:hAnsi="Times New Roman" w:cs="Times New Roman"/>
      <w:b/>
      <w:bCs/>
      <w:sz w:val="40"/>
      <w:szCs w:val="24"/>
    </w:rPr>
  </w:style>
  <w:style w:type="paragraph" w:customStyle="1" w:styleId="Titolo11">
    <w:name w:val="Titolo 11"/>
    <w:qFormat/>
    <w:pPr>
      <w:outlineLvl w:val="0"/>
    </w:pPr>
    <w:rPr>
      <w:rFonts w:eastAsia="ヒラギノ角ゴ Pro W3"/>
      <w:color w:val="000000"/>
      <w:sz w:val="22"/>
    </w:rPr>
  </w:style>
  <w:style w:type="paragraph" w:customStyle="1" w:styleId="Titolo31">
    <w:name w:val="Titolo 31"/>
    <w:qFormat/>
    <w:pPr>
      <w:outlineLvl w:val="2"/>
    </w:pPr>
    <w:rPr>
      <w:rFonts w:eastAsia="ヒラギノ角ゴ Pro W3"/>
      <w:color w:val="000000"/>
      <w:sz w:val="22"/>
    </w:rPr>
  </w:style>
  <w:style w:type="paragraph" w:customStyle="1" w:styleId="ModulovuotoA">
    <w:name w:val="Modulo vuoto A"/>
    <w:qFormat/>
    <w:rPr>
      <w:rFonts w:ascii="Calibri" w:eastAsia="ヒラギノ角ゴ Pro W3" w:hAnsi="Calibri"/>
      <w:color w:val="000000"/>
      <w:sz w:val="22"/>
    </w:rPr>
  </w:style>
  <w:style w:type="paragraph" w:customStyle="1" w:styleId="Pidipagina1">
    <w:name w:val="Piè di pagina1"/>
    <w:qFormat/>
    <w:pPr>
      <w:tabs>
        <w:tab w:val="center" w:pos="4819"/>
        <w:tab w:val="right" w:pos="9638"/>
      </w:tabs>
      <w:spacing w:after="200" w:line="276" w:lineRule="auto"/>
    </w:pPr>
    <w:rPr>
      <w:rFonts w:ascii="Calibri" w:eastAsia="ヒラギノ角ゴ Pro W3" w:hAnsi="Calibri"/>
      <w:color w:val="000000"/>
      <w:sz w:val="22"/>
    </w:rPr>
  </w:style>
  <w:style w:type="paragraph" w:customStyle="1" w:styleId="Sommario11">
    <w:name w:val="Sommario 11"/>
    <w:qFormat/>
    <w:pPr>
      <w:spacing w:before="120" w:line="276" w:lineRule="auto"/>
    </w:pPr>
    <w:rPr>
      <w:rFonts w:ascii="Calibri Bold" w:eastAsia="ヒラギノ角ゴ Pro W3" w:hAnsi="Calibri Bold"/>
      <w:color w:val="110E76"/>
      <w:sz w:val="24"/>
    </w:rPr>
  </w:style>
  <w:style w:type="paragraph" w:customStyle="1" w:styleId="Normale1">
    <w:name w:val="Normale1"/>
    <w:uiPriority w:val="99"/>
    <w:qFormat/>
    <w:pPr>
      <w:spacing w:after="200" w:line="276" w:lineRule="auto"/>
    </w:pPr>
    <w:rPr>
      <w:rFonts w:ascii="Calibri" w:eastAsia="ヒラギノ角ゴ Pro W3" w:hAnsi="Calibri"/>
      <w:color w:val="000000"/>
      <w:sz w:val="22"/>
    </w:rPr>
  </w:style>
  <w:style w:type="paragraph" w:customStyle="1" w:styleId="Normale3">
    <w:name w:val="Normale3"/>
    <w:qFormat/>
    <w:rPr>
      <w:rFonts w:eastAsia="ヒラギノ角ゴ Pro W3"/>
      <w:color w:val="000000"/>
      <w:sz w:val="24"/>
      <w:lang w:val="en-US"/>
    </w:rPr>
  </w:style>
  <w:style w:type="paragraph" w:customStyle="1" w:styleId="Sommario12">
    <w:name w:val="Sommario 12"/>
    <w:qFormat/>
    <w:pPr>
      <w:tabs>
        <w:tab w:val="right" w:leader="dot" w:pos="9632"/>
      </w:tabs>
      <w:spacing w:before="240"/>
      <w:ind w:left="720"/>
      <w:outlineLvl w:val="0"/>
    </w:pPr>
    <w:rPr>
      <w:rFonts w:ascii="Helvetica" w:eastAsia="ヒラギノ角ゴ Pro W3" w:hAnsi="Helvetica"/>
      <w:b/>
      <w:i/>
      <w:color w:val="000000"/>
      <w:sz w:val="24"/>
    </w:rPr>
  </w:style>
  <w:style w:type="paragraph" w:customStyle="1" w:styleId="Sommario21">
    <w:name w:val="Sommario 21"/>
    <w:qFormat/>
    <w:pPr>
      <w:tabs>
        <w:tab w:val="right" w:leader="dot" w:pos="9632"/>
      </w:tabs>
      <w:suppressAutoHyphens/>
      <w:spacing w:before="240" w:after="60"/>
      <w:ind w:left="360"/>
      <w:outlineLvl w:val="0"/>
    </w:pPr>
    <w:rPr>
      <w:rFonts w:ascii="Helvetica" w:eastAsia="ヒラギノ角ゴ Pro W3" w:hAnsi="Helvetica"/>
      <w:b/>
      <w:color w:val="000000"/>
      <w:sz w:val="28"/>
    </w:rPr>
  </w:style>
  <w:style w:type="paragraph" w:customStyle="1" w:styleId="Sommario31">
    <w:name w:val="Sommario 31"/>
    <w:qFormat/>
    <w:pPr>
      <w:tabs>
        <w:tab w:val="right" w:leader="dot" w:pos="9632"/>
      </w:tabs>
      <w:suppressAutoHyphens/>
      <w:spacing w:before="240"/>
      <w:ind w:left="720"/>
      <w:outlineLvl w:val="0"/>
    </w:pPr>
    <w:rPr>
      <w:rFonts w:ascii="Helvetica" w:eastAsia="ヒラギノ角ゴ Pro W3" w:hAnsi="Helvetica"/>
      <w:b/>
      <w:i/>
      <w:color w:val="000000"/>
      <w:sz w:val="24"/>
    </w:rPr>
  </w:style>
  <w:style w:type="paragraph" w:customStyle="1" w:styleId="Sommario41">
    <w:name w:val="Sommario 41"/>
    <w:qFormat/>
    <w:pPr>
      <w:tabs>
        <w:tab w:val="right" w:leader="dot" w:pos="9632"/>
      </w:tabs>
      <w:suppressAutoHyphens/>
      <w:spacing w:before="240"/>
      <w:ind w:left="720"/>
      <w:outlineLvl w:val="0"/>
    </w:pPr>
    <w:rPr>
      <w:rFonts w:ascii="Helvetica" w:eastAsia="ヒラギノ角ゴ Pro W3" w:hAnsi="Helvetica"/>
      <w:b/>
      <w:i/>
      <w:color w:val="000000"/>
      <w:sz w:val="24"/>
    </w:rPr>
  </w:style>
  <w:style w:type="paragraph" w:customStyle="1" w:styleId="Sommario51">
    <w:name w:val="Sommario 51"/>
    <w:basedOn w:val="Sommario41"/>
    <w:qFormat/>
    <w:pPr>
      <w:spacing w:line="165" w:lineRule="auto"/>
    </w:pPr>
    <w:rPr>
      <w:rFonts w:ascii="Calibri Bold Italic" w:hAnsi="Calibri Bold Italic"/>
      <w:b w:val="0"/>
      <w:i w:val="0"/>
      <w:color w:val="2B5DCD"/>
    </w:rPr>
  </w:style>
  <w:style w:type="paragraph" w:customStyle="1" w:styleId="Sommario61">
    <w:name w:val="Sommario 61"/>
    <w:qFormat/>
    <w:pPr>
      <w:tabs>
        <w:tab w:val="right" w:leader="dot" w:pos="9632"/>
      </w:tabs>
      <w:spacing w:before="240" w:after="60"/>
      <w:ind w:left="360"/>
      <w:outlineLvl w:val="0"/>
    </w:pPr>
    <w:rPr>
      <w:rFonts w:ascii="Helvetica" w:eastAsia="ヒラギノ角ゴ Pro W3" w:hAnsi="Helvetica"/>
      <w:b/>
      <w:color w:val="000000"/>
      <w:sz w:val="28"/>
    </w:rPr>
  </w:style>
  <w:style w:type="paragraph" w:customStyle="1" w:styleId="Sommario71">
    <w:name w:val="Sommario 71"/>
    <w:basedOn w:val="Sommario21"/>
    <w:qFormat/>
    <w:pPr>
      <w:spacing w:line="165" w:lineRule="auto"/>
    </w:pPr>
    <w:rPr>
      <w:rFonts w:ascii="Calibri Bold" w:hAnsi="Calibri Bold"/>
      <w:b w:val="0"/>
      <w:color w:val="2B5DCD"/>
    </w:rPr>
  </w:style>
  <w:style w:type="paragraph" w:customStyle="1" w:styleId="Sommario81">
    <w:name w:val="Sommario 81"/>
    <w:qFormat/>
    <w:pPr>
      <w:tabs>
        <w:tab w:val="right" w:leader="dot" w:pos="9632"/>
      </w:tabs>
      <w:spacing w:before="240" w:after="60"/>
      <w:outlineLvl w:val="0"/>
    </w:pPr>
    <w:rPr>
      <w:rFonts w:ascii="Helvetica" w:eastAsia="ヒラギノ角ゴ Pro W3" w:hAnsi="Helvetica"/>
      <w:b/>
      <w:color w:val="000000"/>
      <w:sz w:val="36"/>
    </w:rPr>
  </w:style>
  <w:style w:type="paragraph" w:customStyle="1" w:styleId="Sommario91">
    <w:name w:val="Sommario 91"/>
    <w:basedOn w:val="Sommario31"/>
    <w:qFormat/>
    <w:pPr>
      <w:spacing w:line="165" w:lineRule="auto"/>
    </w:pPr>
    <w:rPr>
      <w:rFonts w:ascii="Calibri Bold Italic" w:hAnsi="Calibri Bold Italic"/>
      <w:b w:val="0"/>
      <w:i w:val="0"/>
      <w:color w:val="2B5DCD"/>
    </w:rPr>
  </w:style>
  <w:style w:type="paragraph" w:customStyle="1" w:styleId="Titolo20">
    <w:name w:val="Titolo2"/>
    <w:qFormat/>
    <w:pPr>
      <w:keepNext/>
      <w:outlineLvl w:val="0"/>
    </w:pPr>
    <w:rPr>
      <w:rFonts w:ascii="Helvetica" w:eastAsia="ヒラギノ角ゴ Pro W3" w:hAnsi="Helvetica"/>
      <w:b/>
      <w:color w:val="000000"/>
      <w:sz w:val="56"/>
    </w:rPr>
  </w:style>
  <w:style w:type="paragraph" w:customStyle="1" w:styleId="Corpo">
    <w:name w:val="Corpo"/>
    <w:qFormat/>
    <w:pPr>
      <w:spacing w:after="200" w:line="276" w:lineRule="auto"/>
    </w:pPr>
    <w:rPr>
      <w:rFonts w:ascii="Calibri" w:eastAsia="ヒラギノ角ゴ Pro W3" w:hAnsi="Calibri"/>
      <w:color w:val="000000"/>
      <w:sz w:val="22"/>
    </w:rPr>
  </w:style>
  <w:style w:type="paragraph" w:customStyle="1" w:styleId="Intestazione10">
    <w:name w:val="Intestazione 1"/>
    <w:next w:val="Corpo"/>
    <w:qFormat/>
    <w:pPr>
      <w:keepNext/>
      <w:outlineLvl w:val="0"/>
    </w:pPr>
    <w:rPr>
      <w:rFonts w:ascii="Helvetica" w:eastAsia="ヒラギノ角ゴ Pro W3" w:hAnsi="Helvetica"/>
      <w:b/>
      <w:color w:val="000000"/>
      <w:sz w:val="36"/>
    </w:rPr>
  </w:style>
  <w:style w:type="paragraph" w:customStyle="1" w:styleId="Titolo21">
    <w:name w:val="Titolo 21"/>
    <w:next w:val="Normale1"/>
    <w:qFormat/>
    <w:pPr>
      <w:keepNext/>
      <w:keepLines/>
      <w:spacing w:before="200" w:line="276" w:lineRule="auto"/>
      <w:outlineLvl w:val="1"/>
    </w:pPr>
    <w:rPr>
      <w:rFonts w:ascii="Cambria Bold" w:eastAsia="ヒラギノ角ゴ Pro W3" w:hAnsi="Cambria Bold"/>
      <w:color w:val="101250"/>
      <w:sz w:val="26"/>
    </w:rPr>
  </w:style>
  <w:style w:type="paragraph" w:customStyle="1" w:styleId="Intestazione1A">
    <w:name w:val="Intestazione 1 A"/>
    <w:qFormat/>
    <w:pPr>
      <w:keepNext/>
      <w:outlineLvl w:val="0"/>
    </w:pPr>
    <w:rPr>
      <w:rFonts w:ascii="Helvetica" w:eastAsia="ヒラギノ角ゴ Pro W3" w:hAnsi="Helvetica"/>
      <w:b/>
      <w:color w:val="000000"/>
      <w:sz w:val="36"/>
    </w:rPr>
  </w:style>
  <w:style w:type="paragraph" w:customStyle="1" w:styleId="TOC4Para">
    <w:name w:val="TOC 4 Para"/>
    <w:qFormat/>
    <w:pPr>
      <w:tabs>
        <w:tab w:val="right" w:leader="dot" w:pos="9632"/>
      </w:tabs>
      <w:suppressAutoHyphens/>
      <w:spacing w:before="240" w:after="60"/>
      <w:ind w:left="360"/>
      <w:outlineLvl w:val="0"/>
    </w:pPr>
    <w:rPr>
      <w:rFonts w:ascii="Helvetica" w:eastAsia="ヒラギノ角ゴ Pro W3" w:hAnsi="Helvetica"/>
      <w:b/>
      <w:color w:val="000000"/>
      <w:sz w:val="28"/>
    </w:rPr>
  </w:style>
  <w:style w:type="paragraph" w:customStyle="1" w:styleId="TOC7Para">
    <w:name w:val="TOC 7 Para"/>
    <w:qFormat/>
    <w:pPr>
      <w:tabs>
        <w:tab w:val="right" w:leader="dot" w:pos="9632"/>
      </w:tabs>
      <w:spacing w:before="240" w:after="60"/>
      <w:ind w:left="360"/>
      <w:outlineLvl w:val="0"/>
    </w:pPr>
    <w:rPr>
      <w:rFonts w:ascii="Helvetica" w:eastAsia="ヒラギノ角ゴ Pro W3" w:hAnsi="Helvetica"/>
      <w:b/>
      <w:color w:val="000000"/>
      <w:sz w:val="28"/>
    </w:rPr>
  </w:style>
  <w:style w:type="paragraph" w:customStyle="1" w:styleId="TitoloA">
    <w:name w:val="Titolo A"/>
    <w:qFormat/>
    <w:pPr>
      <w:keepNext/>
      <w:outlineLvl w:val="0"/>
    </w:pPr>
    <w:rPr>
      <w:rFonts w:ascii="Helvetica" w:eastAsia="ヒラギノ角ゴ Pro W3" w:hAnsi="Helvetica"/>
      <w:b/>
      <w:color w:val="000000"/>
      <w:sz w:val="56"/>
    </w:rPr>
  </w:style>
  <w:style w:type="paragraph" w:customStyle="1" w:styleId="TOC10">
    <w:name w:val="TOC 10"/>
    <w:qFormat/>
    <w:pPr>
      <w:tabs>
        <w:tab w:val="right" w:leader="dot" w:pos="9632"/>
      </w:tabs>
      <w:suppressAutoHyphens/>
      <w:spacing w:before="240" w:after="60"/>
      <w:ind w:left="360"/>
      <w:outlineLvl w:val="0"/>
    </w:pPr>
    <w:rPr>
      <w:rFonts w:ascii="Helvetica" w:eastAsia="ヒラギノ角ゴ Pro W3" w:hAnsi="Helvetica"/>
      <w:b/>
      <w:color w:val="000000"/>
      <w:sz w:val="28"/>
    </w:rPr>
  </w:style>
  <w:style w:type="paragraph" w:customStyle="1" w:styleId="Intestazione1AAA">
    <w:name w:val="Intestazione 1 A A A"/>
    <w:qFormat/>
    <w:pPr>
      <w:keepNext/>
      <w:outlineLvl w:val="0"/>
    </w:pPr>
    <w:rPr>
      <w:rFonts w:ascii="Helvetica" w:eastAsia="ヒラギノ角ゴ Pro W3" w:hAnsi="Helvetica"/>
      <w:b/>
      <w:color w:val="000000"/>
      <w:sz w:val="36"/>
    </w:rPr>
  </w:style>
  <w:style w:type="paragraph" w:customStyle="1" w:styleId="TOC9Para">
    <w:name w:val="TOC 9 Para"/>
    <w:qFormat/>
    <w:pPr>
      <w:tabs>
        <w:tab w:val="right" w:leader="dot" w:pos="9632"/>
      </w:tabs>
      <w:suppressAutoHyphens/>
      <w:spacing w:before="240" w:after="60"/>
      <w:outlineLvl w:val="0"/>
    </w:pPr>
    <w:rPr>
      <w:rFonts w:ascii="Helvetica" w:eastAsia="ヒラギノ角ゴ Pro W3" w:hAnsi="Helvetica"/>
      <w:b/>
      <w:color w:val="000000"/>
      <w:sz w:val="36"/>
    </w:rPr>
  </w:style>
  <w:style w:type="paragraph" w:customStyle="1" w:styleId="TOC5Para">
    <w:name w:val="TOC 5 Para"/>
    <w:qFormat/>
    <w:pPr>
      <w:tabs>
        <w:tab w:val="right" w:leader="dot" w:pos="9632"/>
      </w:tabs>
      <w:suppressAutoHyphens/>
      <w:spacing w:before="240"/>
      <w:ind w:left="720"/>
      <w:outlineLvl w:val="0"/>
    </w:pPr>
    <w:rPr>
      <w:rFonts w:ascii="Helvetica" w:eastAsia="ヒラギノ角ゴ Pro W3" w:hAnsi="Helvetica"/>
      <w:b/>
      <w:i/>
      <w:color w:val="000000"/>
      <w:sz w:val="24"/>
    </w:rPr>
  </w:style>
  <w:style w:type="paragraph" w:customStyle="1" w:styleId="TitoloB">
    <w:name w:val="Titolo B"/>
    <w:qFormat/>
    <w:pPr>
      <w:keepNext/>
      <w:outlineLvl w:val="0"/>
    </w:pPr>
    <w:rPr>
      <w:rFonts w:ascii="Helvetica" w:eastAsia="ヒラギノ角ゴ Pro W3" w:hAnsi="Helvetica"/>
      <w:b/>
      <w:color w:val="000000"/>
      <w:sz w:val="56"/>
    </w:rPr>
  </w:style>
  <w:style w:type="paragraph" w:customStyle="1" w:styleId="TOC1Para">
    <w:name w:val="TOC 1 Para"/>
    <w:qFormat/>
    <w:pPr>
      <w:tabs>
        <w:tab w:val="right" w:leader="dot" w:pos="9632"/>
      </w:tabs>
      <w:spacing w:before="240"/>
      <w:ind w:left="720"/>
      <w:outlineLvl w:val="0"/>
    </w:pPr>
    <w:rPr>
      <w:rFonts w:ascii="Helvetica" w:eastAsia="ヒラギノ角ゴ Pro W3" w:hAnsi="Helvetica"/>
      <w:b/>
      <w:i/>
      <w:color w:val="000000"/>
      <w:sz w:val="24"/>
    </w:rPr>
  </w:style>
  <w:style w:type="paragraph" w:customStyle="1" w:styleId="Intestazione1B">
    <w:name w:val="Intestazione 1 B"/>
    <w:qFormat/>
    <w:pPr>
      <w:keepNext/>
      <w:outlineLvl w:val="0"/>
    </w:pPr>
    <w:rPr>
      <w:rFonts w:ascii="Helvetica" w:eastAsia="ヒラギノ角ゴ Pro W3" w:hAnsi="Helvetica"/>
      <w:b/>
      <w:color w:val="000000"/>
      <w:sz w:val="36"/>
    </w:rPr>
  </w:style>
  <w:style w:type="paragraph" w:customStyle="1" w:styleId="TOC8Para">
    <w:name w:val="TOC 8 Para"/>
    <w:qFormat/>
    <w:pPr>
      <w:tabs>
        <w:tab w:val="right" w:leader="dot" w:pos="9632"/>
      </w:tabs>
      <w:spacing w:before="240" w:after="60"/>
      <w:ind w:left="360"/>
      <w:outlineLvl w:val="0"/>
    </w:pPr>
    <w:rPr>
      <w:rFonts w:ascii="Helvetica" w:eastAsia="ヒラギノ角ゴ Pro W3" w:hAnsi="Helvetica"/>
      <w:b/>
      <w:color w:val="000000"/>
      <w:sz w:val="28"/>
    </w:rPr>
  </w:style>
  <w:style w:type="paragraph" w:customStyle="1" w:styleId="Titolo10">
    <w:name w:val="Titolo1"/>
    <w:qFormat/>
    <w:pPr>
      <w:keepNext/>
      <w:outlineLvl w:val="0"/>
    </w:pPr>
    <w:rPr>
      <w:rFonts w:ascii="Helvetica" w:eastAsia="ヒラギノ角ゴ Pro W3" w:hAnsi="Helvetica"/>
      <w:b/>
      <w:color w:val="000000"/>
      <w:sz w:val="56"/>
    </w:rPr>
  </w:style>
  <w:style w:type="paragraph" w:customStyle="1" w:styleId="TOC11">
    <w:name w:val="TOC 11"/>
    <w:qFormat/>
    <w:pPr>
      <w:tabs>
        <w:tab w:val="right" w:leader="dot" w:pos="9632"/>
      </w:tabs>
      <w:spacing w:before="240" w:after="60"/>
      <w:outlineLvl w:val="0"/>
    </w:pPr>
    <w:rPr>
      <w:rFonts w:ascii="Helvetica" w:eastAsia="ヒラギノ角ゴ Pro W3" w:hAnsi="Helvetica"/>
      <w:b/>
      <w:color w:val="000000"/>
      <w:sz w:val="36"/>
    </w:rPr>
  </w:style>
  <w:style w:type="paragraph" w:customStyle="1" w:styleId="Intestazione1AB">
    <w:name w:val="Intestazione 1 A B"/>
    <w:qFormat/>
    <w:pPr>
      <w:keepNext/>
      <w:outlineLvl w:val="0"/>
    </w:pPr>
    <w:rPr>
      <w:rFonts w:ascii="Helvetica" w:eastAsia="ヒラギノ角ゴ Pro W3" w:hAnsi="Helvetica"/>
      <w:b/>
      <w:color w:val="000000"/>
      <w:sz w:val="36"/>
    </w:rPr>
  </w:style>
  <w:style w:type="paragraph" w:customStyle="1" w:styleId="TOC6Para">
    <w:name w:val="TOC 6 Para"/>
    <w:qFormat/>
    <w:pPr>
      <w:tabs>
        <w:tab w:val="right" w:leader="dot" w:pos="9632"/>
      </w:tabs>
      <w:spacing w:before="240" w:after="60"/>
      <w:outlineLvl w:val="0"/>
    </w:pPr>
    <w:rPr>
      <w:rFonts w:ascii="Helvetica" w:eastAsia="ヒラギノ角ゴ Pro W3" w:hAnsi="Helvetica"/>
      <w:b/>
      <w:color w:val="000000"/>
      <w:sz w:val="36"/>
    </w:rPr>
  </w:style>
  <w:style w:type="paragraph" w:customStyle="1" w:styleId="Intestazione1AA">
    <w:name w:val="Intestazione 1 A A"/>
    <w:qFormat/>
    <w:pPr>
      <w:keepNext/>
      <w:outlineLvl w:val="0"/>
    </w:pPr>
    <w:rPr>
      <w:rFonts w:ascii="Helvetica" w:eastAsia="ヒラギノ角ゴ Pro W3" w:hAnsi="Helvetica"/>
      <w:b/>
      <w:color w:val="000000"/>
      <w:sz w:val="36"/>
    </w:rPr>
  </w:style>
  <w:style w:type="paragraph" w:customStyle="1" w:styleId="CorpoA">
    <w:name w:val="Corpo A"/>
    <w:qFormat/>
    <w:rPr>
      <w:rFonts w:ascii="Helvetica" w:eastAsia="ヒラギノ角ゴ Pro W3" w:hAnsi="Helvetica"/>
      <w:color w:val="000000"/>
      <w:sz w:val="24"/>
    </w:rPr>
  </w:style>
  <w:style w:type="paragraph" w:customStyle="1" w:styleId="Intestazione5">
    <w:name w:val="Intestazione 5"/>
    <w:next w:val="Corpo"/>
    <w:qFormat/>
    <w:pPr>
      <w:keepNext/>
      <w:outlineLvl w:val="4"/>
    </w:pPr>
    <w:rPr>
      <w:rFonts w:ascii="Helvetica" w:eastAsia="ヒラギノ角ゴ Pro W3" w:hAnsi="Helvetica"/>
      <w:b/>
      <w:color w:val="000000"/>
      <w:sz w:val="24"/>
    </w:rPr>
  </w:style>
  <w:style w:type="paragraph" w:customStyle="1" w:styleId="Intestazione9">
    <w:name w:val="Intestazione 9"/>
    <w:next w:val="Corpo"/>
    <w:qFormat/>
    <w:pPr>
      <w:keepNext/>
      <w:outlineLvl w:val="8"/>
    </w:pPr>
    <w:rPr>
      <w:rFonts w:ascii="Helvetica" w:eastAsia="ヒラギノ角ゴ Pro W3" w:hAnsi="Helvetica"/>
      <w:b/>
      <w:color w:val="000000"/>
      <w:sz w:val="24"/>
    </w:rPr>
  </w:style>
  <w:style w:type="paragraph" w:customStyle="1" w:styleId="Intestazione4">
    <w:name w:val="Intestazione 4"/>
    <w:next w:val="Corpo"/>
    <w:qFormat/>
    <w:pPr>
      <w:keepNext/>
      <w:outlineLvl w:val="3"/>
    </w:pPr>
    <w:rPr>
      <w:rFonts w:ascii="Helvetica" w:eastAsia="ヒラギノ角ゴ Pro W3" w:hAnsi="Helvetica"/>
      <w:b/>
      <w:color w:val="000000"/>
      <w:sz w:val="24"/>
    </w:rPr>
  </w:style>
  <w:style w:type="paragraph" w:customStyle="1" w:styleId="Intestazione8">
    <w:name w:val="Intestazione 8"/>
    <w:next w:val="Corpo"/>
    <w:qFormat/>
    <w:pPr>
      <w:keepNext/>
      <w:outlineLvl w:val="7"/>
    </w:pPr>
    <w:rPr>
      <w:rFonts w:ascii="Helvetica" w:eastAsia="ヒラギノ角ゴ Pro W3" w:hAnsi="Helvetica"/>
      <w:b/>
      <w:color w:val="000000"/>
      <w:sz w:val="24"/>
    </w:rPr>
  </w:style>
  <w:style w:type="paragraph" w:customStyle="1" w:styleId="Intestazione30">
    <w:name w:val="Intestazione 3"/>
    <w:next w:val="Corpo"/>
    <w:qFormat/>
    <w:pPr>
      <w:keepNext/>
      <w:outlineLvl w:val="2"/>
    </w:pPr>
    <w:rPr>
      <w:rFonts w:ascii="Helvetica" w:eastAsia="ヒラギノ角ゴ Pro W3" w:hAnsi="Helvetica"/>
      <w:b/>
      <w:color w:val="000000"/>
      <w:sz w:val="24"/>
    </w:rPr>
  </w:style>
  <w:style w:type="paragraph" w:customStyle="1" w:styleId="Intestazione20">
    <w:name w:val="Intestazione 2"/>
    <w:next w:val="Corpo"/>
    <w:qFormat/>
    <w:pPr>
      <w:keepNext/>
      <w:outlineLvl w:val="1"/>
    </w:pPr>
    <w:rPr>
      <w:rFonts w:ascii="Helvetica" w:eastAsia="ヒラギノ角ゴ Pro W3" w:hAnsi="Helvetica"/>
      <w:b/>
      <w:color w:val="000000"/>
      <w:sz w:val="24"/>
    </w:rPr>
  </w:style>
  <w:style w:type="paragraph" w:customStyle="1" w:styleId="Intestazione7">
    <w:name w:val="Intestazione 7"/>
    <w:next w:val="Corpo"/>
    <w:qFormat/>
    <w:pPr>
      <w:keepNext/>
      <w:outlineLvl w:val="6"/>
    </w:pPr>
    <w:rPr>
      <w:rFonts w:ascii="Helvetica" w:eastAsia="ヒラギノ角ゴ Pro W3" w:hAnsi="Helvetica"/>
      <w:b/>
      <w:color w:val="000000"/>
      <w:sz w:val="24"/>
    </w:rPr>
  </w:style>
  <w:style w:type="paragraph" w:customStyle="1" w:styleId="Intestazione6">
    <w:name w:val="Intestazione 6"/>
    <w:next w:val="Corpo"/>
    <w:qFormat/>
    <w:pPr>
      <w:keepNext/>
      <w:outlineLvl w:val="5"/>
    </w:pPr>
    <w:rPr>
      <w:rFonts w:ascii="Helvetica" w:eastAsia="ヒラギノ角ゴ Pro W3" w:hAnsi="Helvetica"/>
      <w:b/>
      <w:color w:val="000000"/>
      <w:sz w:val="24"/>
    </w:rPr>
  </w:style>
  <w:style w:type="paragraph" w:customStyle="1" w:styleId="Intestazione3AB">
    <w:name w:val="Intestazione 3 A B"/>
    <w:qFormat/>
    <w:pPr>
      <w:keepNext/>
      <w:outlineLvl w:val="2"/>
    </w:pPr>
    <w:rPr>
      <w:rFonts w:ascii="Helvetica" w:eastAsia="ヒラギノ角ゴ Pro W3" w:hAnsi="Helvetica"/>
      <w:b/>
      <w:color w:val="000000"/>
      <w:sz w:val="24"/>
    </w:rPr>
  </w:style>
  <w:style w:type="paragraph" w:customStyle="1" w:styleId="Intestazione3AA">
    <w:name w:val="Intestazione 3 A A"/>
    <w:qFormat/>
    <w:pPr>
      <w:keepNext/>
      <w:outlineLvl w:val="2"/>
    </w:pPr>
    <w:rPr>
      <w:rFonts w:ascii="Helvetica" w:eastAsia="ヒラギノ角ゴ Pro W3" w:hAnsi="Helvetica"/>
      <w:b/>
      <w:color w:val="000000"/>
      <w:sz w:val="24"/>
    </w:rPr>
  </w:style>
  <w:style w:type="paragraph" w:customStyle="1" w:styleId="Intestazione3A">
    <w:name w:val="Intestazione 3 A"/>
    <w:qFormat/>
    <w:pPr>
      <w:keepNext/>
      <w:outlineLvl w:val="2"/>
    </w:pPr>
    <w:rPr>
      <w:rFonts w:ascii="Helvetica" w:eastAsia="ヒラギノ角ゴ Pro W3" w:hAnsi="Helvetica"/>
      <w:b/>
      <w:color w:val="000000"/>
      <w:sz w:val="24"/>
    </w:rPr>
  </w:style>
  <w:style w:type="paragraph" w:customStyle="1" w:styleId="Intestazione3AAA">
    <w:name w:val="Intestazione 3 A A A"/>
    <w:qFormat/>
    <w:pPr>
      <w:keepNext/>
      <w:outlineLvl w:val="2"/>
    </w:pPr>
    <w:rPr>
      <w:rFonts w:ascii="Helvetica" w:eastAsia="ヒラギノ角ゴ Pro W3" w:hAnsi="Helvetica"/>
      <w:b/>
      <w:color w:val="000000"/>
      <w:sz w:val="24"/>
    </w:rPr>
  </w:style>
  <w:style w:type="paragraph" w:customStyle="1" w:styleId="Intestazione3AC">
    <w:name w:val="Intestazione 3 A C"/>
    <w:qFormat/>
    <w:pPr>
      <w:keepNext/>
      <w:outlineLvl w:val="2"/>
    </w:pPr>
    <w:rPr>
      <w:rFonts w:ascii="Helvetica" w:eastAsia="ヒラギノ角ゴ Pro W3" w:hAnsi="Helvetica"/>
      <w:b/>
      <w:color w:val="000000"/>
      <w:sz w:val="24"/>
    </w:rPr>
  </w:style>
  <w:style w:type="paragraph" w:customStyle="1" w:styleId="Intestazione2B">
    <w:name w:val="Intestazione 2 B"/>
    <w:qFormat/>
    <w:pPr>
      <w:keepNext/>
      <w:outlineLvl w:val="1"/>
    </w:pPr>
    <w:rPr>
      <w:rFonts w:ascii="Helvetica" w:eastAsia="ヒラギノ角ゴ Pro W3" w:hAnsi="Helvetica"/>
      <w:b/>
      <w:color w:val="000000"/>
      <w:sz w:val="24"/>
    </w:rPr>
  </w:style>
  <w:style w:type="paragraph" w:customStyle="1" w:styleId="Titolo22">
    <w:name w:val="Titolo 22"/>
    <w:next w:val="Normale3"/>
    <w:qFormat/>
    <w:pPr>
      <w:keepNext/>
      <w:keepLines/>
      <w:spacing w:before="200" w:line="276" w:lineRule="auto"/>
      <w:outlineLvl w:val="1"/>
    </w:pPr>
    <w:rPr>
      <w:rFonts w:ascii="Cambria Bold" w:eastAsia="ヒラギノ角ゴ Pro W3" w:hAnsi="Cambria Bold"/>
      <w:color w:val="101250"/>
      <w:sz w:val="26"/>
    </w:rPr>
  </w:style>
  <w:style w:type="paragraph" w:customStyle="1" w:styleId="Intestazione2A">
    <w:name w:val="Intestazione 2 A"/>
    <w:qFormat/>
    <w:pPr>
      <w:keepNext/>
      <w:outlineLvl w:val="1"/>
    </w:pPr>
    <w:rPr>
      <w:rFonts w:ascii="Helvetica" w:eastAsia="ヒラギノ角ゴ Pro W3" w:hAnsi="Helvetica"/>
      <w:b/>
      <w:color w:val="000000"/>
      <w:sz w:val="24"/>
    </w:rPr>
  </w:style>
  <w:style w:type="paragraph" w:customStyle="1" w:styleId="Intestazione2AA">
    <w:name w:val="Intestazione 2 A A"/>
    <w:qFormat/>
    <w:pPr>
      <w:keepNext/>
      <w:outlineLvl w:val="1"/>
    </w:pPr>
    <w:rPr>
      <w:rFonts w:ascii="Helvetica" w:eastAsia="ヒラギノ角ゴ Pro W3" w:hAnsi="Helvetica"/>
      <w:b/>
      <w:color w:val="000000"/>
      <w:sz w:val="24"/>
    </w:rPr>
  </w:style>
  <w:style w:type="paragraph" w:customStyle="1" w:styleId="Intestazione2AB">
    <w:name w:val="Intestazione 2 A B"/>
    <w:qFormat/>
    <w:pPr>
      <w:keepNext/>
      <w:outlineLvl w:val="1"/>
    </w:pPr>
    <w:rPr>
      <w:rFonts w:ascii="Helvetica" w:eastAsia="ヒラギノ角ゴ Pro W3" w:hAnsi="Helvetica"/>
      <w:b/>
      <w:color w:val="000000"/>
      <w:sz w:val="24"/>
    </w:rPr>
  </w:style>
  <w:style w:type="paragraph" w:customStyle="1" w:styleId="Modulovuoto">
    <w:name w:val="Modulo vuoto"/>
    <w:qFormat/>
    <w:rPr>
      <w:rFonts w:eastAsia="ヒラギノ角ゴ Pro W3"/>
      <w:color w:val="000000"/>
      <w:sz w:val="22"/>
    </w:rPr>
  </w:style>
  <w:style w:type="paragraph" w:customStyle="1" w:styleId="ModulovuotoB">
    <w:name w:val="Modulo vuoto B"/>
    <w:qFormat/>
    <w:rPr>
      <w:rFonts w:eastAsia="ヒラギノ角ゴ Pro W3"/>
      <w:color w:val="000000"/>
      <w:sz w:val="22"/>
    </w:rPr>
  </w:style>
  <w:style w:type="paragraph" w:customStyle="1" w:styleId="ModulovuotoBA">
    <w:name w:val="Modulo vuoto B A"/>
    <w:qFormat/>
    <w:rPr>
      <w:rFonts w:eastAsia="ヒラギノ角ゴ Pro W3"/>
      <w:color w:val="000000"/>
      <w:sz w:val="22"/>
    </w:rPr>
  </w:style>
  <w:style w:type="paragraph" w:customStyle="1" w:styleId="ModulovuotoBAA">
    <w:name w:val="Modulo vuoto B A A"/>
    <w:qFormat/>
    <w:rPr>
      <w:rFonts w:eastAsia="ヒラギノ角ゴ Pro W3"/>
      <w:color w:val="000000"/>
      <w:sz w:val="22"/>
    </w:rPr>
  </w:style>
  <w:style w:type="paragraph" w:customStyle="1" w:styleId="ModulovuotoBAAA">
    <w:name w:val="Modulo vuoto B A A A"/>
    <w:qFormat/>
    <w:rPr>
      <w:rFonts w:eastAsia="ヒラギノ角ゴ Pro W3"/>
      <w:color w:val="000000"/>
      <w:sz w:val="22"/>
    </w:rPr>
  </w:style>
  <w:style w:type="paragraph" w:customStyle="1" w:styleId="Normale2">
    <w:name w:val="Normale2"/>
    <w:qFormat/>
    <w:pPr>
      <w:suppressAutoHyphens/>
    </w:pPr>
    <w:rPr>
      <w:rFonts w:eastAsia="ヒラギノ角ゴ Pro W3"/>
      <w:color w:val="000000"/>
      <w:sz w:val="22"/>
    </w:rPr>
  </w:style>
  <w:style w:type="paragraph" w:customStyle="1" w:styleId="Titolo41">
    <w:name w:val="Titolo 41"/>
    <w:basedOn w:val="Normale"/>
    <w:uiPriority w:val="9"/>
    <w:unhideWhenUsed/>
    <w:qFormat/>
    <w:pPr>
      <w:keepNext/>
      <w:suppressAutoHyphens w:val="0"/>
      <w:spacing w:before="240" w:after="60"/>
      <w:outlineLvl w:val="3"/>
    </w:pPr>
    <w:rPr>
      <w:rFonts w:asciiTheme="minorHAnsi" w:hAnsiTheme="minorHAnsi" w:cstheme="minorBidi"/>
      <w:b/>
      <w:bCs/>
      <w:sz w:val="28"/>
      <w:szCs w:val="28"/>
      <w:lang w:eastAsia="it-IT" w:bidi="ar-SA"/>
    </w:rPr>
  </w:style>
  <w:style w:type="paragraph" w:customStyle="1" w:styleId="Titolo81">
    <w:name w:val="Titolo 81"/>
    <w:basedOn w:val="Normale"/>
    <w:unhideWhenUsed/>
    <w:qFormat/>
    <w:pPr>
      <w:keepNext/>
      <w:keepLines/>
      <w:suppressAutoHyphens w:val="0"/>
      <w:spacing w:before="200"/>
      <w:outlineLvl w:val="7"/>
    </w:pPr>
    <w:rPr>
      <w:rFonts w:ascii="Cambria" w:hAnsi="Cambria" w:cs="Times New Roman"/>
      <w:color w:val="404040"/>
      <w:sz w:val="20"/>
      <w:lang w:eastAsia="it-IT" w:bidi="ar-SA"/>
    </w:rPr>
  </w:style>
  <w:style w:type="paragraph" w:customStyle="1" w:styleId="Titolo91">
    <w:name w:val="Titolo 91"/>
    <w:basedOn w:val="Normale"/>
    <w:unhideWhenUsed/>
    <w:qFormat/>
    <w:pPr>
      <w:keepNext/>
      <w:keepLines/>
      <w:suppressAutoHyphens w:val="0"/>
      <w:spacing w:before="200"/>
      <w:outlineLvl w:val="8"/>
    </w:pPr>
    <w:rPr>
      <w:rFonts w:ascii="Cambria" w:hAnsi="Cambria" w:cs="Times New Roman"/>
      <w:i/>
      <w:iCs/>
      <w:color w:val="404040"/>
      <w:sz w:val="20"/>
      <w:lang w:eastAsia="it-IT" w:bidi="ar-SA"/>
    </w:rPr>
  </w:style>
  <w:style w:type="paragraph" w:customStyle="1" w:styleId="NormaleWeb1">
    <w:name w:val="Normale (Web)1"/>
    <w:basedOn w:val="Normale"/>
    <w:unhideWhenUsed/>
    <w:qFormat/>
    <w:pPr>
      <w:suppressAutoHyphens w:val="0"/>
      <w:spacing w:beforeAutospacing="1" w:afterAutospacing="1"/>
    </w:pPr>
    <w:rPr>
      <w:rFonts w:asciiTheme="minorHAnsi" w:eastAsiaTheme="minorHAnsi" w:hAnsiTheme="minorHAnsi" w:cstheme="minorBidi"/>
      <w:sz w:val="24"/>
      <w:szCs w:val="24"/>
      <w:lang w:eastAsia="en-US" w:bidi="ar-SA"/>
    </w:rPr>
  </w:style>
  <w:style w:type="paragraph" w:customStyle="1" w:styleId="Sommario32">
    <w:name w:val="Sommario 32"/>
    <w:basedOn w:val="Normale"/>
    <w:uiPriority w:val="39"/>
    <w:qFormat/>
    <w:pPr>
      <w:suppressAutoHyphens w:val="0"/>
      <w:spacing w:before="0"/>
      <w:ind w:left="200"/>
    </w:pPr>
    <w:rPr>
      <w:rFonts w:asciiTheme="minorHAnsi" w:hAnsiTheme="minorHAnsi"/>
      <w:sz w:val="20"/>
      <w:lang w:eastAsia="it-IT" w:bidi="ar-SA"/>
    </w:rPr>
  </w:style>
  <w:style w:type="paragraph" w:customStyle="1" w:styleId="Sommario42">
    <w:name w:val="Sommario 42"/>
    <w:basedOn w:val="Normale"/>
    <w:uiPriority w:val="39"/>
    <w:unhideWhenUsed/>
    <w:qFormat/>
    <w:pPr>
      <w:suppressAutoHyphens w:val="0"/>
      <w:spacing w:before="0"/>
      <w:ind w:left="400"/>
    </w:pPr>
    <w:rPr>
      <w:rFonts w:asciiTheme="minorHAnsi" w:hAnsiTheme="minorHAnsi"/>
      <w:sz w:val="20"/>
      <w:lang w:eastAsia="it-IT" w:bidi="ar-SA"/>
    </w:rPr>
  </w:style>
  <w:style w:type="paragraph" w:customStyle="1" w:styleId="Sommario52">
    <w:name w:val="Sommario 52"/>
    <w:basedOn w:val="Normale"/>
    <w:uiPriority w:val="39"/>
    <w:unhideWhenUsed/>
    <w:qFormat/>
    <w:pPr>
      <w:suppressAutoHyphens w:val="0"/>
      <w:spacing w:before="0"/>
      <w:ind w:left="600"/>
    </w:pPr>
    <w:rPr>
      <w:rFonts w:asciiTheme="minorHAnsi" w:hAnsiTheme="minorHAnsi"/>
      <w:sz w:val="20"/>
      <w:lang w:eastAsia="it-IT" w:bidi="ar-SA"/>
    </w:rPr>
  </w:style>
  <w:style w:type="paragraph" w:customStyle="1" w:styleId="Sommario62">
    <w:name w:val="Sommario 62"/>
    <w:basedOn w:val="Normale"/>
    <w:uiPriority w:val="39"/>
    <w:unhideWhenUsed/>
    <w:qFormat/>
    <w:pPr>
      <w:suppressAutoHyphens w:val="0"/>
      <w:spacing w:before="0"/>
      <w:ind w:left="800"/>
    </w:pPr>
    <w:rPr>
      <w:rFonts w:asciiTheme="minorHAnsi" w:hAnsiTheme="minorHAnsi"/>
      <w:sz w:val="20"/>
      <w:lang w:eastAsia="it-IT" w:bidi="ar-SA"/>
    </w:rPr>
  </w:style>
  <w:style w:type="paragraph" w:customStyle="1" w:styleId="Sommario72">
    <w:name w:val="Sommario 72"/>
    <w:basedOn w:val="Normale"/>
    <w:uiPriority w:val="39"/>
    <w:unhideWhenUsed/>
    <w:qFormat/>
    <w:pPr>
      <w:suppressAutoHyphens w:val="0"/>
      <w:spacing w:before="0"/>
      <w:ind w:left="1000"/>
    </w:pPr>
    <w:rPr>
      <w:rFonts w:asciiTheme="minorHAnsi" w:hAnsiTheme="minorHAnsi"/>
      <w:sz w:val="20"/>
      <w:lang w:eastAsia="it-IT" w:bidi="ar-SA"/>
    </w:rPr>
  </w:style>
  <w:style w:type="paragraph" w:customStyle="1" w:styleId="Sommario82">
    <w:name w:val="Sommario 82"/>
    <w:basedOn w:val="Normale"/>
    <w:uiPriority w:val="39"/>
    <w:unhideWhenUsed/>
    <w:qFormat/>
    <w:pPr>
      <w:suppressAutoHyphens w:val="0"/>
      <w:spacing w:before="0"/>
      <w:ind w:left="1200"/>
    </w:pPr>
    <w:rPr>
      <w:rFonts w:asciiTheme="minorHAnsi" w:hAnsiTheme="minorHAnsi"/>
      <w:sz w:val="20"/>
      <w:lang w:eastAsia="it-IT" w:bidi="ar-SA"/>
    </w:rPr>
  </w:style>
  <w:style w:type="paragraph" w:customStyle="1" w:styleId="Sommario92">
    <w:name w:val="Sommario 92"/>
    <w:basedOn w:val="Normale"/>
    <w:uiPriority w:val="39"/>
    <w:unhideWhenUsed/>
    <w:qFormat/>
    <w:pPr>
      <w:suppressAutoHyphens w:val="0"/>
      <w:spacing w:before="0"/>
      <w:ind w:left="1400"/>
    </w:pPr>
    <w:rPr>
      <w:rFonts w:asciiTheme="minorHAnsi" w:hAnsiTheme="minorHAnsi"/>
      <w:sz w:val="20"/>
      <w:lang w:eastAsia="it-IT" w:bidi="ar-SA"/>
    </w:rPr>
  </w:style>
  <w:style w:type="paragraph" w:customStyle="1" w:styleId="Testonotaapidipagina1">
    <w:name w:val="Testo nota a piè di pagina1"/>
    <w:basedOn w:val="Normale"/>
    <w:qFormat/>
    <w:pPr>
      <w:spacing w:before="0" w:line="100" w:lineRule="atLeast"/>
    </w:pPr>
    <w:rPr>
      <w:rFonts w:ascii="Times New Roman" w:hAnsi="Times New Roman" w:cs="Times New Roman"/>
      <w:sz w:val="20"/>
      <w:lang w:eastAsia="ar-SA" w:bidi="ar-SA"/>
    </w:rPr>
  </w:style>
  <w:style w:type="paragraph" w:customStyle="1" w:styleId="stile">
    <w:name w:val="stile"/>
    <w:basedOn w:val="Normale"/>
    <w:qFormat/>
    <w:pPr>
      <w:suppressAutoHyphens w:val="0"/>
      <w:spacing w:beforeAutospacing="1" w:afterAutospacing="1"/>
    </w:pPr>
    <w:rPr>
      <w:rFonts w:ascii="Times New Roman" w:hAnsi="Times New Roman" w:cs="Times New Roman"/>
      <w:sz w:val="24"/>
      <w:szCs w:val="24"/>
      <w:lang w:eastAsia="it-IT" w:bidi="ar-SA"/>
    </w:rPr>
  </w:style>
  <w:style w:type="paragraph" w:customStyle="1" w:styleId="western">
    <w:name w:val="western"/>
    <w:basedOn w:val="Normale"/>
    <w:qFormat/>
    <w:pPr>
      <w:spacing w:before="280" w:after="119" w:line="100" w:lineRule="atLeast"/>
    </w:pPr>
    <w:rPr>
      <w:rFonts w:ascii="Times New Roman" w:hAnsi="Times New Roman" w:cs="Times New Roman"/>
      <w:color w:val="000000"/>
      <w:sz w:val="20"/>
      <w:lang w:eastAsia="zh-CN" w:bidi="ar-SA"/>
    </w:rPr>
  </w:style>
  <w:style w:type="paragraph" w:customStyle="1" w:styleId="Paragrafoelenco20">
    <w:name w:val="Paragrafo elenco2"/>
    <w:basedOn w:val="Normale"/>
    <w:qFormat/>
    <w:pPr>
      <w:spacing w:before="0"/>
      <w:ind w:left="720"/>
      <w:contextualSpacing/>
    </w:pPr>
    <w:rPr>
      <w:rFonts w:ascii="Times New Roman" w:hAnsi="Times New Roman" w:cs="Times New Roman"/>
      <w:sz w:val="20"/>
      <w:lang w:eastAsia="zh-CN" w:bidi="ar-SA"/>
    </w:rPr>
  </w:style>
  <w:style w:type="paragraph" w:customStyle="1" w:styleId="Titolo80">
    <w:name w:val="Titolo8"/>
    <w:basedOn w:val="Normale"/>
    <w:qFormat/>
    <w:pPr>
      <w:keepNext/>
      <w:spacing w:before="240" w:after="120"/>
    </w:pPr>
    <w:rPr>
      <w:rFonts w:ascii="Arial" w:eastAsia="Microsoft YaHei" w:hAnsi="Arial" w:cs="Mangal"/>
      <w:sz w:val="28"/>
      <w:szCs w:val="28"/>
      <w:lang w:eastAsia="zh-CN" w:bidi="ar-SA"/>
    </w:rPr>
  </w:style>
  <w:style w:type="paragraph" w:customStyle="1" w:styleId="Titolo7">
    <w:name w:val="Titolo7"/>
    <w:basedOn w:val="Normale"/>
    <w:qFormat/>
    <w:pPr>
      <w:keepNext/>
      <w:spacing w:before="240" w:after="120"/>
    </w:pPr>
    <w:rPr>
      <w:rFonts w:ascii="Arial" w:eastAsia="Microsoft YaHei" w:hAnsi="Arial" w:cs="Mangal"/>
      <w:sz w:val="28"/>
      <w:szCs w:val="28"/>
      <w:lang w:eastAsia="zh-CN" w:bidi="ar-SA"/>
    </w:rPr>
  </w:style>
  <w:style w:type="paragraph" w:customStyle="1" w:styleId="Titolo60">
    <w:name w:val="Titolo6"/>
    <w:basedOn w:val="Normale"/>
    <w:qFormat/>
    <w:pPr>
      <w:keepNext/>
      <w:spacing w:before="240" w:after="120"/>
    </w:pPr>
    <w:rPr>
      <w:rFonts w:ascii="Liberation Sans" w:eastAsia="Microsoft YaHei" w:hAnsi="Liberation Sans" w:cs="Mangal"/>
      <w:sz w:val="28"/>
      <w:szCs w:val="28"/>
      <w:lang w:eastAsia="zh-CN" w:bidi="ar-SA"/>
    </w:rPr>
  </w:style>
  <w:style w:type="paragraph" w:customStyle="1" w:styleId="Titolo50">
    <w:name w:val="Titolo5"/>
    <w:basedOn w:val="Normale"/>
    <w:qFormat/>
    <w:pPr>
      <w:keepNext/>
      <w:spacing w:before="240" w:after="120"/>
    </w:pPr>
    <w:rPr>
      <w:rFonts w:ascii="Liberation Sans" w:eastAsia="Microsoft YaHei" w:hAnsi="Liberation Sans" w:cs="Mangal"/>
      <w:sz w:val="28"/>
      <w:szCs w:val="28"/>
      <w:lang w:eastAsia="zh-CN" w:bidi="ar-SA"/>
    </w:rPr>
  </w:style>
  <w:style w:type="paragraph" w:customStyle="1" w:styleId="Titolo40">
    <w:name w:val="Titolo4"/>
    <w:basedOn w:val="Normale"/>
    <w:qFormat/>
    <w:pPr>
      <w:spacing w:before="240" w:after="60"/>
      <w:jc w:val="center"/>
    </w:pPr>
    <w:rPr>
      <w:rFonts w:ascii="Cambria" w:eastAsia="SimSun" w:hAnsi="Cambria" w:cs="Cambria"/>
      <w:b/>
      <w:bCs/>
      <w:sz w:val="32"/>
      <w:szCs w:val="32"/>
      <w:lang w:eastAsia="zh-CN" w:bidi="ar-SA"/>
    </w:rPr>
  </w:style>
  <w:style w:type="paragraph" w:customStyle="1" w:styleId="Titolo30">
    <w:name w:val="Titolo3"/>
    <w:basedOn w:val="Normale"/>
    <w:qFormat/>
    <w:pPr>
      <w:keepNext/>
      <w:spacing w:before="240" w:after="120"/>
    </w:pPr>
    <w:rPr>
      <w:rFonts w:ascii="Liberation Sans" w:eastAsia="Microsoft YaHei" w:hAnsi="Liberation Sans" w:cs="Mangal"/>
      <w:sz w:val="28"/>
      <w:szCs w:val="28"/>
      <w:lang w:eastAsia="zh-CN" w:bidi="ar-SA"/>
    </w:rPr>
  </w:style>
  <w:style w:type="paragraph" w:customStyle="1" w:styleId="Corpodeltesto22">
    <w:name w:val="Corpo del testo 22"/>
    <w:basedOn w:val="Normale"/>
    <w:qFormat/>
    <w:pPr>
      <w:spacing w:before="0" w:after="120" w:line="480" w:lineRule="auto"/>
    </w:pPr>
    <w:rPr>
      <w:rFonts w:ascii="Times New Roman" w:eastAsia="SimSun" w:hAnsi="Times New Roman"/>
      <w:sz w:val="20"/>
      <w:lang w:eastAsia="zh-CN" w:bidi="ar-SA"/>
    </w:rPr>
  </w:style>
  <w:style w:type="paragraph" w:customStyle="1" w:styleId="Testocommento1">
    <w:name w:val="Testo commento1"/>
    <w:basedOn w:val="Normale"/>
    <w:qFormat/>
    <w:pPr>
      <w:spacing w:before="0"/>
    </w:pPr>
    <w:rPr>
      <w:rFonts w:ascii="Times New Roman" w:eastAsia="SimSun" w:hAnsi="Times New Roman"/>
      <w:sz w:val="20"/>
      <w:lang w:eastAsia="zh-CN" w:bidi="ar-SA"/>
    </w:rPr>
  </w:style>
  <w:style w:type="paragraph" w:customStyle="1" w:styleId="Testofumetto1">
    <w:name w:val="Testo fumetto1"/>
    <w:basedOn w:val="Normale"/>
    <w:qFormat/>
    <w:pPr>
      <w:spacing w:before="0"/>
    </w:pPr>
    <w:rPr>
      <w:rFonts w:ascii="Tahoma" w:eastAsia="Calibri" w:hAnsi="Tahoma" w:cs="Tahoma"/>
      <w:sz w:val="16"/>
      <w:szCs w:val="16"/>
      <w:lang w:eastAsia="zh-CN" w:bidi="ar-SA"/>
    </w:rPr>
  </w:style>
  <w:style w:type="paragraph" w:customStyle="1" w:styleId="NormaleWeb2">
    <w:name w:val="Normale (Web)2"/>
    <w:basedOn w:val="Normale"/>
    <w:qFormat/>
    <w:pPr>
      <w:spacing w:before="0" w:after="280"/>
    </w:pPr>
    <w:rPr>
      <w:rFonts w:eastAsia="Calibri"/>
      <w:sz w:val="24"/>
      <w:lang w:eastAsia="ja-JP" w:bidi="ar-SA"/>
    </w:rPr>
  </w:style>
  <w:style w:type="paragraph" w:customStyle="1" w:styleId="Nessunaspaziatura10">
    <w:name w:val="Nessuna spaziatura1"/>
    <w:qFormat/>
    <w:pPr>
      <w:suppressAutoHyphens/>
    </w:pPr>
    <w:rPr>
      <w:rFonts w:ascii="Calibri" w:eastAsia="Times New Roman" w:hAnsi="Calibri" w:cs="Calibri"/>
      <w:sz w:val="22"/>
      <w:szCs w:val="22"/>
      <w:lang w:eastAsia="zh-CN"/>
    </w:rPr>
  </w:style>
  <w:style w:type="paragraph" w:customStyle="1" w:styleId="Testonormale2">
    <w:name w:val="Testo normale2"/>
    <w:basedOn w:val="Normale"/>
    <w:qFormat/>
    <w:pPr>
      <w:spacing w:before="0"/>
    </w:pPr>
    <w:rPr>
      <w:rFonts w:ascii="Courier New" w:eastAsia="SimSun" w:hAnsi="Courier New" w:cs="Courier New"/>
      <w:sz w:val="20"/>
      <w:lang w:eastAsia="ja-JP" w:bidi="ar-SA"/>
    </w:rPr>
  </w:style>
  <w:style w:type="paragraph" w:customStyle="1" w:styleId="Soggettocommento2">
    <w:name w:val="Soggetto commento2"/>
    <w:basedOn w:val="Testocommento1"/>
    <w:qFormat/>
    <w:rPr>
      <w:rFonts w:ascii="Verdana" w:eastAsia="Calibri" w:hAnsi="Verdana" w:cs="Verdana"/>
      <w:b/>
      <w:bCs/>
    </w:rPr>
  </w:style>
  <w:style w:type="paragraph" w:customStyle="1" w:styleId="Titoloindicefonti1">
    <w:name w:val="Titolo indice fonti1"/>
    <w:basedOn w:val="Normale"/>
    <w:qFormat/>
    <w:pPr>
      <w:keepNext/>
      <w:suppressLineNumbers/>
      <w:spacing w:before="240" w:after="120"/>
      <w:jc w:val="center"/>
    </w:pPr>
    <w:rPr>
      <w:rFonts w:ascii="Liberation Sans" w:eastAsia="Microsoft YaHei" w:hAnsi="Liberation Sans" w:cs="Mangal"/>
      <w:b/>
      <w:bCs/>
      <w:sz w:val="32"/>
      <w:szCs w:val="32"/>
      <w:lang w:eastAsia="zh-CN" w:bidi="ar-SA"/>
    </w:rPr>
  </w:style>
  <w:style w:type="paragraph" w:customStyle="1" w:styleId="Iniziomodulo-z10">
    <w:name w:val="Inizio modulo -z1"/>
    <w:basedOn w:val="Normale"/>
    <w:qFormat/>
    <w:pPr>
      <w:pBdr>
        <w:bottom w:val="single" w:sz="6" w:space="1" w:color="000001"/>
      </w:pBdr>
      <w:spacing w:before="0"/>
      <w:jc w:val="center"/>
    </w:pPr>
    <w:rPr>
      <w:rFonts w:ascii="Arial" w:eastAsia="SimSun" w:hAnsi="Arial" w:cs="Arial"/>
      <w:vanish/>
      <w:sz w:val="16"/>
      <w:szCs w:val="16"/>
      <w:lang w:eastAsia="zh-CN"/>
    </w:rPr>
  </w:style>
  <w:style w:type="paragraph" w:customStyle="1" w:styleId="Finemodulo-z10">
    <w:name w:val="Fine modulo -z1"/>
    <w:basedOn w:val="Normale"/>
    <w:qFormat/>
    <w:pPr>
      <w:pBdr>
        <w:top w:val="single" w:sz="6" w:space="1" w:color="000001"/>
      </w:pBdr>
      <w:spacing w:before="0"/>
      <w:jc w:val="center"/>
    </w:pPr>
    <w:rPr>
      <w:rFonts w:ascii="Arial" w:eastAsia="SimSun" w:hAnsi="Arial" w:cs="Arial"/>
      <w:vanish/>
      <w:sz w:val="16"/>
      <w:szCs w:val="16"/>
      <w:lang w:eastAsia="zh-CN"/>
    </w:rPr>
  </w:style>
  <w:style w:type="paragraph" w:customStyle="1" w:styleId="Titoloindicefonti11">
    <w:name w:val="Titolo indice fonti11"/>
    <w:basedOn w:val="Titolo1"/>
    <w:qFormat/>
    <w:pPr>
      <w:numPr>
        <w:numId w:val="0"/>
      </w:numPr>
      <w:spacing w:line="276" w:lineRule="auto"/>
      <w:jc w:val="left"/>
    </w:pPr>
    <w:rPr>
      <w:rFonts w:eastAsia="SimSun"/>
      <w:bCs/>
      <w:smallCaps w:val="0"/>
      <w:color w:val="365F91"/>
      <w:sz w:val="28"/>
      <w:szCs w:val="28"/>
      <w:lang w:eastAsia="zh-CN" w:bidi="ar-SA"/>
    </w:rPr>
  </w:style>
  <w:style w:type="paragraph" w:customStyle="1" w:styleId="Mappadocumento1">
    <w:name w:val="Mappa documento1"/>
    <w:basedOn w:val="Normale"/>
    <w:qFormat/>
    <w:pPr>
      <w:spacing w:before="0"/>
    </w:pPr>
    <w:rPr>
      <w:rFonts w:ascii="Lucida Grande" w:eastAsia="Calibri" w:hAnsi="Lucida Grande" w:cs="Lucida Grande"/>
      <w:color w:val="000000"/>
      <w:sz w:val="24"/>
      <w:szCs w:val="24"/>
      <w:lang w:eastAsia="zh-CN" w:bidi="ar-SA"/>
    </w:rPr>
  </w:style>
  <w:style w:type="paragraph" w:customStyle="1" w:styleId="01Titolino01Capitolo">
    <w:name w:val="01_Titolino (01_Capitolo)"/>
    <w:basedOn w:val="Normale"/>
    <w:qFormat/>
    <w:pPr>
      <w:widowControl w:val="0"/>
      <w:spacing w:before="0" w:line="240" w:lineRule="atLeast"/>
      <w:textAlignment w:val="center"/>
    </w:pPr>
    <w:rPr>
      <w:rFonts w:ascii="Arial Black" w:hAnsi="Arial Black" w:cs="Times New Roman"/>
      <w:i/>
      <w:color w:val="000000"/>
      <w:sz w:val="20"/>
      <w:lang w:eastAsia="it-IT" w:bidi="ar-SA"/>
    </w:rPr>
  </w:style>
  <w:style w:type="paragraph" w:customStyle="1" w:styleId="TableParagraph">
    <w:name w:val="Table Paragraph"/>
    <w:basedOn w:val="Normale"/>
    <w:qFormat/>
    <w:pPr>
      <w:spacing w:before="0"/>
    </w:pPr>
    <w:rPr>
      <w:rFonts w:ascii="Arial" w:eastAsia="Arial" w:hAnsi="Arial" w:cs="Arial"/>
      <w:szCs w:val="22"/>
      <w:lang w:eastAsia="ar-SA" w:bidi="ar-SA"/>
    </w:rPr>
  </w:style>
  <w:style w:type="paragraph" w:customStyle="1" w:styleId="Notaapidipagina">
    <w:name w:val="Nota a piè di pagina"/>
    <w:basedOn w:val="Normale"/>
  </w:style>
  <w:style w:type="table" w:customStyle="1" w:styleId="Tabellasemplice-11">
    <w:name w:val="Tabella semplice - 11"/>
    <w:basedOn w:val="Tabellanormale"/>
    <w:uiPriority w:val="41"/>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gliachiara-Colore51">
    <w:name w:val="Griglia chiara - Colore 51"/>
    <w:basedOn w:val="Tabellanormale"/>
    <w:uiPriority w:val="62"/>
    <w:rPr>
      <w:sz w:val="22"/>
      <w:szCs w:val="22"/>
      <w:lang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Grigliatabella1">
    <w:name w:val="Griglia tabella1"/>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CC99"/>
    </w:tcPr>
  </w:style>
  <w:style w:type="table" w:customStyle="1" w:styleId="Grigliatabella2">
    <w:name w:val="Griglia tabella2"/>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medio1-Colore51">
    <w:name w:val="Elenco medio 1 - Colore 51"/>
    <w:basedOn w:val="Tabellanormale"/>
    <w:uiPriority w:val="65"/>
    <w:rPr>
      <w:color w:val="000000"/>
    </w:rPr>
    <w:tblPr>
      <w:tblBorders>
        <w:top w:val="single" w:sz="8" w:space="0" w:color="4BACC6"/>
        <w:bottom w:val="single" w:sz="8" w:space="0" w:color="4BACC6"/>
      </w:tblBorders>
    </w:tblPr>
    <w:tblStylePr w:type="firstRow">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Elencomedio2-Colore51">
    <w:name w:val="Elenco medio 2 - Colore 51"/>
    <w:basedOn w:val="Tabellanormale"/>
    <w:uiPriority w:val="66"/>
    <w:rPr>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Elencochiaro-Colore51">
    <w:name w:val="Elenco chiaro - Colore 51"/>
    <w:basedOn w:val="Tabellanormale"/>
    <w:uiPriority w:val="61"/>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fondomedio1-Colore51">
    <w:name w:val="Sfondo medio 1 - Colore 51"/>
    <w:basedOn w:val="Tabellanormale"/>
    <w:uiPriority w:val="63"/>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gliatabella4">
    <w:name w:val="Griglia tabella4"/>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pPr>
      <w:spacing w:line="1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99"/>
    <w:rsid w:val="00315DEF"/>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chart" Target="charts/chart7.xml"/><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hyperlink" Target="http://salute.regione.emilia-romagna.it/siseps/siver" TargetMode="External"/><Relationship Id="rId42" Type="http://schemas.openxmlformats.org/officeDocument/2006/relationships/image" Target="media/image15.png"/><Relationship Id="rId47" Type="http://schemas.openxmlformats.org/officeDocument/2006/relationships/chart" Target="charts/chart11.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www.ausl.mo.it/flex/cm/pages/ServeBLOB.php/L/IT/IDPagina/9788" TargetMode="External"/><Relationship Id="rId33" Type="http://schemas.openxmlformats.org/officeDocument/2006/relationships/hyperlink" Target="http://salute.regione.emilia-romagna.it/siseps/siver" TargetMode="External"/><Relationship Id="rId38" Type="http://schemas.openxmlformats.org/officeDocument/2006/relationships/image" Target="media/image11.png"/><Relationship Id="rId46"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5.png"/><Relationship Id="rId29" Type="http://schemas.openxmlformats.org/officeDocument/2006/relationships/hyperlink" Target="http://salute.regione.emilia-romagna.it/siseps/siver"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hyperlink" Target="http://salute.regione.emilia-romagna.it/siseps/siver"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chart" Target="charts/chart9.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image" Target="media/image8.emf"/><Relationship Id="rId28" Type="http://schemas.openxmlformats.org/officeDocument/2006/relationships/hyperlink" Target="http://salute.regione.emilia-romagna.it/siseps/siver" TargetMode="External"/><Relationship Id="rId36" Type="http://schemas.openxmlformats.org/officeDocument/2006/relationships/hyperlink" Target="http://salute.regione.emilia-romagna.it/siseps/siver" TargetMode="External"/><Relationship Id="rId49"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hyperlink" Target="http://salute.regione.emilia-romagna.it/siseps/siver" TargetMode="External"/><Relationship Id="rId44" Type="http://schemas.openxmlformats.org/officeDocument/2006/relationships/chart" Target="charts/chart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7.emf"/><Relationship Id="rId27" Type="http://schemas.openxmlformats.org/officeDocument/2006/relationships/hyperlink" Target="http://salute.regione.emilia-romagna.it/siseps/siver" TargetMode="External"/><Relationship Id="rId30" Type="http://schemas.openxmlformats.org/officeDocument/2006/relationships/hyperlink" Target="http://salute.regione.emilia-romagna.it/siseps/siver" TargetMode="External"/><Relationship Id="rId35" Type="http://schemas.openxmlformats.org/officeDocument/2006/relationships/hyperlink" Target="http://salute.regione.emilia-romagna.it/siseps/siver" TargetMode="External"/><Relationship Id="rId43" Type="http://schemas.openxmlformats.org/officeDocument/2006/relationships/image" Target="media/image16.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eborae\AppData\Local\Temp\tabella%20modific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gotog\Desktop\Documenti%20Lavoro\Dir%20Amm.vo\CTSS\Relazione%20al%20consuntivo%202016\Tab%20e%20grafici%20rel%20al%20consuntivo%20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gotog\Desktop\Documenti%20Lavoro\Dir%20Amm.vo\CTSS\Relazione%20al%20consuntivo%202016\Tab%20e%20grafici%20rel%20al%20consuntivo%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gotog\Desktop\Documenti%20Lavoro\Cruscotto%20Direzionale\Nuovo%20Cruscotto\Screening\Grafici%20Screen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gotog\Desktop\Documenti%20Lavoro\Cruscotto%20Direzionale\Nuovo%20Cruscotto\Screening\Grafici%20Screen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gotog\Desktop\Documenti%20Lavoro\Cruscotto%20Direzionale\Nuovo%20Cruscotto\Screening\Grafici%20Screen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gotog\Desktop\Documenti%20Lavoro\Cruscotto%20Direzionale\Nuovo%20Cruscotto\Sinistri\Grafico%20Sinistr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gotog\Desktop\Documenti%20Lavoro\Cruscotto%20Direzionale\Nuovo%20Cruscotto\Sinistri\Grafico%20Sinistr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eborae\AppData\Local\Temp\tabella%20modificata.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pagotog\Desktop\Documenti%20Lavoro\Dir%20Amm.vo\Concertazioni%202017\Concertazioni%202017\DG\Grafici%20Farma_DM_Persona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Indicatori SIVER Piano Performance 2016-2018 - ANNO 2016</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dPt>
          <c:dPt>
            <c:idx val="1"/>
            <c:invertIfNegative val="0"/>
            <c:bubble3D val="0"/>
            <c:spPr>
              <a:solidFill>
                <a:srgbClr val="92D050"/>
              </a:solidFill>
              <a:ln>
                <a:noFill/>
              </a:ln>
              <a:effectLst/>
            </c:spPr>
          </c:dPt>
          <c:dPt>
            <c:idx val="2"/>
            <c:invertIfNegative val="0"/>
            <c:bubble3D val="0"/>
            <c:spPr>
              <a:solidFill>
                <a:srgbClr val="FFFF00"/>
              </a:solidFill>
              <a:ln>
                <a:noFill/>
              </a:ln>
              <a:effectLst/>
            </c:spPr>
          </c:dPt>
          <c:dPt>
            <c:idx val="3"/>
            <c:invertIfNegative val="0"/>
            <c:bubble3D val="0"/>
            <c:spPr>
              <a:solidFill>
                <a:srgbClr val="FFC000"/>
              </a:solidFill>
              <a:ln>
                <a:noFill/>
              </a:ln>
              <a:effectLst/>
            </c:spPr>
          </c:dPt>
          <c:dPt>
            <c:idx val="4"/>
            <c:invertIfNegative val="0"/>
            <c:bubble3D val="0"/>
            <c:spPr>
              <a:solidFill>
                <a:srgbClr val="FFC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Totale!$F$21:$F$25</c:f>
              <c:strCache>
                <c:ptCount val="5"/>
                <c:pt idx="0">
                  <c:v>Ottimo</c:v>
                </c:pt>
                <c:pt idx="1">
                  <c:v>Buono</c:v>
                </c:pt>
                <c:pt idx="2">
                  <c:v>Medio</c:v>
                </c:pt>
                <c:pt idx="3">
                  <c:v>Scarso</c:v>
                </c:pt>
                <c:pt idx="4">
                  <c:v>Pessimo</c:v>
                </c:pt>
              </c:strCache>
            </c:strRef>
          </c:cat>
          <c:val>
            <c:numRef>
              <c:f>Totale!$G$21:$G$25</c:f>
              <c:numCache>
                <c:formatCode>General</c:formatCode>
                <c:ptCount val="5"/>
                <c:pt idx="0">
                  <c:v>13</c:v>
                </c:pt>
                <c:pt idx="1">
                  <c:v>16</c:v>
                </c:pt>
                <c:pt idx="2">
                  <c:v>7</c:v>
                </c:pt>
                <c:pt idx="3">
                  <c:v>2</c:v>
                </c:pt>
                <c:pt idx="4">
                  <c:v>0</c:v>
                </c:pt>
              </c:numCache>
            </c:numRef>
          </c:val>
        </c:ser>
        <c:dLbls>
          <c:dLblPos val="outEnd"/>
          <c:showLegendKey val="0"/>
          <c:showVal val="1"/>
          <c:showCatName val="0"/>
          <c:showSerName val="0"/>
          <c:showPercent val="0"/>
          <c:showBubbleSize val="0"/>
        </c:dLbls>
        <c:gapWidth val="219"/>
        <c:overlap val="-27"/>
        <c:axId val="138167424"/>
        <c:axId val="143402880"/>
      </c:barChart>
      <c:catAx>
        <c:axId val="13816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3402880"/>
        <c:crosses val="autoZero"/>
        <c:auto val="1"/>
        <c:lblAlgn val="ctr"/>
        <c:lblOffset val="100"/>
        <c:noMultiLvlLbl val="0"/>
      </c:catAx>
      <c:valAx>
        <c:axId val="14340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16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40" b="0" i="0" u="none" strike="noStrike" kern="1200" spc="0" baseline="0">
                <a:solidFill>
                  <a:schemeClr val="tx1">
                    <a:lumMod val="65000"/>
                    <a:lumOff val="35000"/>
                  </a:schemeClr>
                </a:solidFill>
                <a:latin typeface="+mn-lt"/>
                <a:ea typeface="+mn-ea"/>
                <a:cs typeface="+mn-cs"/>
              </a:defRPr>
            </a:pPr>
            <a:r>
              <a:rPr lang="it-IT" b="1" dirty="0"/>
              <a:t>Totale Farmaci HT</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'Farmaci e DM'!$A$63:$A$66</c:f>
              <c:strCache>
                <c:ptCount val="4"/>
                <c:pt idx="0">
                  <c:v>Consuntivo 2014</c:v>
                </c:pt>
                <c:pt idx="1">
                  <c:v>Consuntivo 2015</c:v>
                </c:pt>
                <c:pt idx="2">
                  <c:v>Preventivo 2016</c:v>
                </c:pt>
                <c:pt idx="3">
                  <c:v>Consuntivo 2016</c:v>
                </c:pt>
              </c:strCache>
            </c:strRef>
          </c:cat>
          <c:val>
            <c:numRef>
              <c:f>'Farmaci e DM'!$B$63:$B$66</c:f>
              <c:numCache>
                <c:formatCode>#,##0.0</c:formatCode>
                <c:ptCount val="4"/>
                <c:pt idx="0">
                  <c:v>89738247</c:v>
                </c:pt>
                <c:pt idx="1">
                  <c:v>115597991</c:v>
                </c:pt>
                <c:pt idx="2">
                  <c:v>118597991</c:v>
                </c:pt>
                <c:pt idx="3">
                  <c:v>123986255</c:v>
                </c:pt>
              </c:numCache>
            </c:numRef>
          </c:val>
        </c:ser>
        <c:dLbls>
          <c:showLegendKey val="0"/>
          <c:showVal val="1"/>
          <c:showCatName val="0"/>
          <c:showSerName val="0"/>
          <c:showPercent val="0"/>
          <c:showBubbleSize val="0"/>
        </c:dLbls>
        <c:gapWidth val="219"/>
        <c:overlap val="-27"/>
        <c:axId val="144236544"/>
        <c:axId val="144239232"/>
      </c:barChart>
      <c:catAx>
        <c:axId val="1442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it-IT"/>
          </a:p>
        </c:txPr>
        <c:crossAx val="144239232"/>
        <c:crosses val="autoZero"/>
        <c:auto val="1"/>
        <c:lblAlgn val="ctr"/>
        <c:lblOffset val="100"/>
        <c:noMultiLvlLbl val="0"/>
      </c:catAx>
      <c:valAx>
        <c:axId val="1442392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it-IT"/>
          </a:p>
        </c:txPr>
        <c:crossAx val="144236544"/>
        <c:crosses val="autoZero"/>
        <c:crossBetween val="between"/>
        <c:dispUnits>
          <c:builtInUnit val="millions"/>
          <c:dispUnitsLbl>
            <c:spPr>
              <a:noFill/>
              <a:ln>
                <a:noFill/>
              </a:ln>
              <a:effectLst/>
            </c:spPr>
            <c:txPr>
              <a:bodyPr rot="-5400000" spcFirstLastPara="1" vertOverflow="ellipsis" vert="horz" wrap="square" anchor="ctr" anchorCtr="1">
                <a:spAutoFit/>
              </a:bodyPr>
              <a:lstStyle/>
              <a:p>
                <a:pPr>
                  <a:defRPr lang="en-US" sz="12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plotVisOnly val="1"/>
    <c:dispBlanksAs val="gap"/>
    <c:showDLblsOverMax val="0"/>
  </c:chart>
  <c:spPr>
    <a:noFill/>
    <a:ln w="6350" cap="flat" cmpd="sng" algn="ctr">
      <a:noFill/>
      <a:prstDash val="solid"/>
      <a:round/>
    </a:ln>
    <a:effectLst/>
  </c:spPr>
  <c:txPr>
    <a:bodyPr/>
    <a:lstStyle/>
    <a:p>
      <a:pPr algn="just">
        <a:defRPr lang="en-US" sz="1200"/>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lang="en-US" sz="1440" b="0" i="0" u="none" strike="noStrike" kern="1200" spc="0" baseline="0">
                <a:solidFill>
                  <a:schemeClr val="tx1">
                    <a:lumMod val="65000"/>
                    <a:lumOff val="35000"/>
                  </a:schemeClr>
                </a:solidFill>
                <a:latin typeface="+mn-lt"/>
                <a:ea typeface="+mn-ea"/>
                <a:cs typeface="+mn-cs"/>
              </a:defRPr>
            </a:pPr>
            <a:r>
              <a:rPr lang="it-IT" b="1" dirty="0"/>
              <a:t>Farmaceutica Convenzionata Esterna</a:t>
            </a:r>
          </a:p>
        </c:rich>
      </c:tx>
      <c:overlay val="0"/>
      <c:spPr>
        <a:noFill/>
        <a:ln>
          <a:noFill/>
        </a:ln>
        <a:effectLst/>
      </c:sp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'Farmaci e DM'!$A$85:$A$88</c:f>
              <c:strCache>
                <c:ptCount val="4"/>
                <c:pt idx="0">
                  <c:v>Consuntivo 2014</c:v>
                </c:pt>
                <c:pt idx="1">
                  <c:v>Consuntivo 2015</c:v>
                </c:pt>
                <c:pt idx="2">
                  <c:v>Preventivo 2016</c:v>
                </c:pt>
                <c:pt idx="3">
                  <c:v>Consuntivo 2016</c:v>
                </c:pt>
              </c:strCache>
            </c:strRef>
          </c:cat>
          <c:val>
            <c:numRef>
              <c:f>'Farmaci e DM'!$B$85:$B$88</c:f>
              <c:numCache>
                <c:formatCode>#,##0.0</c:formatCode>
                <c:ptCount val="4"/>
                <c:pt idx="0">
                  <c:v>81870887</c:v>
                </c:pt>
                <c:pt idx="1">
                  <c:v>79590253</c:v>
                </c:pt>
                <c:pt idx="2">
                  <c:v>75993000</c:v>
                </c:pt>
                <c:pt idx="3">
                  <c:v>76798900</c:v>
                </c:pt>
              </c:numCache>
            </c:numRef>
          </c:val>
        </c:ser>
        <c:dLbls>
          <c:showLegendKey val="0"/>
          <c:showVal val="1"/>
          <c:showCatName val="0"/>
          <c:showSerName val="0"/>
          <c:showPercent val="0"/>
          <c:showBubbleSize val="0"/>
        </c:dLbls>
        <c:gapWidth val="219"/>
        <c:overlap val="-27"/>
        <c:axId val="144598912"/>
        <c:axId val="144601856"/>
      </c:barChart>
      <c:catAx>
        <c:axId val="14459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it-IT"/>
          </a:p>
        </c:txPr>
        <c:crossAx val="144601856"/>
        <c:crosses val="autoZero"/>
        <c:auto val="1"/>
        <c:lblAlgn val="ctr"/>
        <c:lblOffset val="100"/>
        <c:noMultiLvlLbl val="0"/>
      </c:catAx>
      <c:valAx>
        <c:axId val="1446018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it-IT"/>
          </a:p>
        </c:txPr>
        <c:crossAx val="144598912"/>
        <c:crosses val="autoZero"/>
        <c:crossBetween val="between"/>
        <c:dispUnits>
          <c:builtInUnit val="millions"/>
          <c:dispUnitsLbl>
            <c:spPr>
              <a:noFill/>
              <a:ln>
                <a:noFill/>
              </a:ln>
              <a:effectLst/>
            </c:spPr>
            <c:txPr>
              <a:bodyPr rot="-5400000" spcFirstLastPara="1" vertOverflow="ellipsis" vert="horz" wrap="square" anchor="ctr" anchorCtr="1">
                <a:spAutoFit/>
              </a:bodyPr>
              <a:lstStyle/>
              <a:p>
                <a:pPr>
                  <a:defRPr lang="en-US" sz="12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plotVisOnly val="1"/>
    <c:dispBlanksAs val="gap"/>
    <c:showDLblsOverMax val="0"/>
  </c:chart>
  <c:spPr>
    <a:noFill/>
    <a:ln w="6350" cap="flat" cmpd="sng" algn="ctr">
      <a:noFill/>
      <a:prstDash val="solid"/>
      <a:round/>
    </a:ln>
    <a:effectLst/>
  </c:spPr>
  <c:txPr>
    <a:bodyPr/>
    <a:lstStyle/>
    <a:p>
      <a:pPr>
        <a:defRPr lang="en-US" sz="1200"/>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320" b="0" i="0" u="none" strike="noStrike" kern="1200" spc="0" baseline="0">
                <a:solidFill>
                  <a:schemeClr val="tx1">
                    <a:lumMod val="65000"/>
                    <a:lumOff val="35000"/>
                  </a:schemeClr>
                </a:solidFill>
                <a:latin typeface="+mn-lt"/>
                <a:ea typeface="+mn-ea"/>
                <a:cs typeface="+mn-cs"/>
              </a:defRPr>
            </a:pPr>
            <a:r>
              <a:rPr lang="it-IT"/>
              <a:t>Screening Colon Retto</a:t>
            </a:r>
          </a:p>
        </c:rich>
      </c:tx>
      <c:overlay val="0"/>
      <c:spPr>
        <a:noFill/>
        <a:ln>
          <a:noFill/>
        </a:ln>
        <a:effectLst/>
      </c:spPr>
    </c:title>
    <c:autoTitleDeleted val="0"/>
    <c:plotArea>
      <c:layout/>
      <c:barChart>
        <c:barDir val="col"/>
        <c:grouping val="clustered"/>
        <c:varyColors val="0"/>
        <c:ser>
          <c:idx val="0"/>
          <c:order val="0"/>
          <c:tx>
            <c:strRef>
              <c:f>Foglio1!$E$3</c:f>
              <c:strCache>
                <c:ptCount val="1"/>
                <c:pt idx="0">
                  <c:v>MO 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Foglio1!$D$4:$D$6</c:f>
              <c:strCache>
                <c:ptCount val="3"/>
                <c:pt idx="0">
                  <c:v>Estensione </c:v>
                </c:pt>
                <c:pt idx="1">
                  <c:v>Adesione</c:v>
                </c:pt>
                <c:pt idx="2">
                  <c:v>Attesa 2° livello</c:v>
                </c:pt>
              </c:strCache>
            </c:strRef>
          </c:cat>
          <c:val>
            <c:numRef>
              <c:f>Foglio1!$E$4:$E$6</c:f>
              <c:numCache>
                <c:formatCode>0.0%</c:formatCode>
                <c:ptCount val="3"/>
                <c:pt idx="0">
                  <c:v>0.98499999999999999</c:v>
                </c:pt>
                <c:pt idx="1">
                  <c:v>0.54700000000000004</c:v>
                </c:pt>
                <c:pt idx="2">
                  <c:v>0.93700000000000006</c:v>
                </c:pt>
              </c:numCache>
            </c:numRef>
          </c:val>
        </c:ser>
        <c:ser>
          <c:idx val="1"/>
          <c:order val="1"/>
          <c:tx>
            <c:strRef>
              <c:f>Foglio1!$F$3</c:f>
              <c:strCache>
                <c:ptCount val="1"/>
                <c:pt idx="0">
                  <c:v>RER 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Foglio1!$D$4:$D$6</c:f>
              <c:strCache>
                <c:ptCount val="3"/>
                <c:pt idx="0">
                  <c:v>Estensione </c:v>
                </c:pt>
                <c:pt idx="1">
                  <c:v>Adesione</c:v>
                </c:pt>
                <c:pt idx="2">
                  <c:v>Attesa 2° livello</c:v>
                </c:pt>
              </c:strCache>
            </c:strRef>
          </c:cat>
          <c:val>
            <c:numRef>
              <c:f>Foglio1!$F$4:$F$6</c:f>
              <c:numCache>
                <c:formatCode>0.0%</c:formatCode>
                <c:ptCount val="3"/>
                <c:pt idx="0">
                  <c:v>0.93400000000000005</c:v>
                </c:pt>
                <c:pt idx="1">
                  <c:v>0.55100000000000005</c:v>
                </c:pt>
                <c:pt idx="2">
                  <c:v>0.69</c:v>
                </c:pt>
              </c:numCache>
            </c:numRef>
          </c:val>
        </c:ser>
        <c:dLbls>
          <c:showLegendKey val="0"/>
          <c:showVal val="1"/>
          <c:showCatName val="0"/>
          <c:showSerName val="0"/>
          <c:showPercent val="0"/>
          <c:showBubbleSize val="0"/>
        </c:dLbls>
        <c:gapWidth val="219"/>
        <c:overlap val="-27"/>
        <c:axId val="143457280"/>
        <c:axId val="143471360"/>
      </c:barChart>
      <c:catAx>
        <c:axId val="14345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143471360"/>
        <c:crosses val="autoZero"/>
        <c:auto val="1"/>
        <c:lblAlgn val="ctr"/>
        <c:lblOffset val="100"/>
        <c:noMultiLvlLbl val="0"/>
      </c:catAx>
      <c:valAx>
        <c:axId val="1434713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14345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100"/>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320" b="0" i="0" u="none" strike="noStrike" kern="1200" spc="0" baseline="0">
                <a:solidFill>
                  <a:schemeClr val="tx1">
                    <a:lumMod val="65000"/>
                    <a:lumOff val="35000"/>
                  </a:schemeClr>
                </a:solidFill>
                <a:latin typeface="+mn-lt"/>
                <a:ea typeface="+mn-ea"/>
                <a:cs typeface="+mn-cs"/>
              </a:defRPr>
            </a:pPr>
            <a:r>
              <a:rPr lang="it-IT"/>
              <a:t>Screening Utero</a:t>
            </a:r>
          </a:p>
        </c:rich>
      </c:tx>
      <c:overlay val="0"/>
      <c:spPr>
        <a:noFill/>
        <a:ln>
          <a:noFill/>
        </a:ln>
        <a:effectLst/>
      </c:spPr>
    </c:title>
    <c:autoTitleDeleted val="0"/>
    <c:plotArea>
      <c:layout/>
      <c:barChart>
        <c:barDir val="col"/>
        <c:grouping val="clustered"/>
        <c:varyColors val="0"/>
        <c:ser>
          <c:idx val="0"/>
          <c:order val="0"/>
          <c:tx>
            <c:strRef>
              <c:f>Foglio1!$E$21</c:f>
              <c:strCache>
                <c:ptCount val="1"/>
                <c:pt idx="0">
                  <c:v>MO 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Foglio1!$D$22:$D$24</c:f>
              <c:strCache>
                <c:ptCount val="3"/>
                <c:pt idx="0">
                  <c:v>Estensione </c:v>
                </c:pt>
                <c:pt idx="1">
                  <c:v>Adesione</c:v>
                </c:pt>
                <c:pt idx="2">
                  <c:v>Attesa 2° livello</c:v>
                </c:pt>
              </c:strCache>
            </c:strRef>
          </c:cat>
          <c:val>
            <c:numRef>
              <c:f>Foglio1!$E$22:$E$24</c:f>
              <c:numCache>
                <c:formatCode>0.0%</c:formatCode>
                <c:ptCount val="3"/>
                <c:pt idx="0">
                  <c:v>0.997</c:v>
                </c:pt>
                <c:pt idx="1">
                  <c:v>0.69099999999999995</c:v>
                </c:pt>
                <c:pt idx="2">
                  <c:v>0.93500000000000005</c:v>
                </c:pt>
              </c:numCache>
            </c:numRef>
          </c:val>
        </c:ser>
        <c:ser>
          <c:idx val="1"/>
          <c:order val="1"/>
          <c:tx>
            <c:strRef>
              <c:f>Foglio1!$F$21</c:f>
              <c:strCache>
                <c:ptCount val="1"/>
                <c:pt idx="0">
                  <c:v>RER 2016</c:v>
                </c:pt>
              </c:strCache>
            </c:strRef>
          </c:tx>
          <c:spPr>
            <a:solidFill>
              <a:schemeClr val="accent4"/>
            </a:solidFill>
            <a:ln>
              <a:noFill/>
            </a:ln>
            <a:effectLst/>
          </c:spPr>
          <c:invertIfNegative val="0"/>
          <c:dLbls>
            <c:dLbl>
              <c:idx val="2"/>
              <c:tx>
                <c:rich>
                  <a:bodyPr/>
                  <a:lstStyle/>
                  <a:p>
                    <a:r>
                      <a:rPr lang="en-US"/>
                      <a:t>n.d.</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Foglio1!$D$22:$D$24</c:f>
              <c:strCache>
                <c:ptCount val="3"/>
                <c:pt idx="0">
                  <c:v>Estensione </c:v>
                </c:pt>
                <c:pt idx="1">
                  <c:v>Adesione</c:v>
                </c:pt>
                <c:pt idx="2">
                  <c:v>Attesa 2° livello</c:v>
                </c:pt>
              </c:strCache>
            </c:strRef>
          </c:cat>
          <c:val>
            <c:numRef>
              <c:f>Foglio1!$F$22:$F$24</c:f>
              <c:numCache>
                <c:formatCode>0.0%</c:formatCode>
                <c:ptCount val="3"/>
                <c:pt idx="0">
                  <c:v>0.98799999999999999</c:v>
                </c:pt>
                <c:pt idx="1">
                  <c:v>0.60599999999999998</c:v>
                </c:pt>
                <c:pt idx="2">
                  <c:v>0</c:v>
                </c:pt>
              </c:numCache>
            </c:numRef>
          </c:val>
        </c:ser>
        <c:dLbls>
          <c:showLegendKey val="0"/>
          <c:showVal val="1"/>
          <c:showCatName val="0"/>
          <c:showSerName val="0"/>
          <c:showPercent val="0"/>
          <c:showBubbleSize val="0"/>
        </c:dLbls>
        <c:gapWidth val="219"/>
        <c:overlap val="-27"/>
        <c:axId val="143501568"/>
        <c:axId val="143544320"/>
      </c:barChart>
      <c:catAx>
        <c:axId val="1435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143544320"/>
        <c:crosses val="autoZero"/>
        <c:auto val="1"/>
        <c:lblAlgn val="ctr"/>
        <c:lblOffset val="100"/>
        <c:noMultiLvlLbl val="0"/>
      </c:catAx>
      <c:valAx>
        <c:axId val="1435443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14350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100"/>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320" b="0" i="0" u="none" strike="noStrike" kern="1200" spc="0" baseline="0">
                <a:solidFill>
                  <a:schemeClr val="tx1">
                    <a:lumMod val="65000"/>
                    <a:lumOff val="35000"/>
                  </a:schemeClr>
                </a:solidFill>
                <a:latin typeface="+mn-lt"/>
                <a:ea typeface="+mn-ea"/>
                <a:cs typeface="+mn-cs"/>
              </a:defRPr>
            </a:pPr>
            <a:r>
              <a:rPr lang="it-IT"/>
              <a:t>Screening Mammografico</a:t>
            </a:r>
          </a:p>
        </c:rich>
      </c:tx>
      <c:overlay val="0"/>
      <c:spPr>
        <a:noFill/>
        <a:ln>
          <a:noFill/>
        </a:ln>
        <a:effectLst/>
      </c:spPr>
    </c:title>
    <c:autoTitleDeleted val="0"/>
    <c:plotArea>
      <c:layout/>
      <c:barChart>
        <c:barDir val="col"/>
        <c:grouping val="clustered"/>
        <c:varyColors val="0"/>
        <c:ser>
          <c:idx val="0"/>
          <c:order val="0"/>
          <c:tx>
            <c:strRef>
              <c:f>Foglio1!$I$40</c:f>
              <c:strCache>
                <c:ptCount val="1"/>
                <c:pt idx="0">
                  <c:v>MO 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Foglio1!$J$38:$Q$39</c:f>
              <c:multiLvlStrCache>
                <c:ptCount val="8"/>
                <c:lvl>
                  <c:pt idx="0">
                    <c:v>45-49</c:v>
                  </c:pt>
                  <c:pt idx="1">
                    <c:v>50-69</c:v>
                  </c:pt>
                  <c:pt idx="2">
                    <c:v>70-74</c:v>
                  </c:pt>
                  <c:pt idx="3">
                    <c:v>45-49</c:v>
                  </c:pt>
                  <c:pt idx="4">
                    <c:v>50-69</c:v>
                  </c:pt>
                  <c:pt idx="5">
                    <c:v>70-74</c:v>
                  </c:pt>
                </c:lvl>
                <c:lvl>
                  <c:pt idx="0">
                    <c:v>Estensione</c:v>
                  </c:pt>
                  <c:pt idx="3">
                    <c:v>Adesione</c:v>
                  </c:pt>
                  <c:pt idx="6">
                    <c:v>Attesa 2° livello (entro 28 gg)</c:v>
                  </c:pt>
                  <c:pt idx="7">
                    <c:v>Refertazione negativi (entro 21 gg)</c:v>
                  </c:pt>
                </c:lvl>
              </c:multiLvlStrCache>
            </c:multiLvlStrRef>
          </c:cat>
          <c:val>
            <c:numRef>
              <c:f>Foglio1!$J$40:$Q$40</c:f>
              <c:numCache>
                <c:formatCode>0%</c:formatCode>
                <c:ptCount val="8"/>
                <c:pt idx="0">
                  <c:v>0.78700000000000003</c:v>
                </c:pt>
                <c:pt idx="1">
                  <c:v>0.89900000000000002</c:v>
                </c:pt>
                <c:pt idx="2">
                  <c:v>0.88700000000000001</c:v>
                </c:pt>
                <c:pt idx="3">
                  <c:v>0.746</c:v>
                </c:pt>
                <c:pt idx="4">
                  <c:v>0.753</c:v>
                </c:pt>
                <c:pt idx="5">
                  <c:v>0.77</c:v>
                </c:pt>
                <c:pt idx="6">
                  <c:v>0.31</c:v>
                </c:pt>
                <c:pt idx="7">
                  <c:v>0.37</c:v>
                </c:pt>
              </c:numCache>
            </c:numRef>
          </c:val>
        </c:ser>
        <c:ser>
          <c:idx val="1"/>
          <c:order val="1"/>
          <c:tx>
            <c:strRef>
              <c:f>Foglio1!$I$41</c:f>
              <c:strCache>
                <c:ptCount val="1"/>
                <c:pt idx="0">
                  <c:v>RER 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Foglio1!$J$38:$Q$39</c:f>
              <c:multiLvlStrCache>
                <c:ptCount val="8"/>
                <c:lvl>
                  <c:pt idx="0">
                    <c:v>45-49</c:v>
                  </c:pt>
                  <c:pt idx="1">
                    <c:v>50-69</c:v>
                  </c:pt>
                  <c:pt idx="2">
                    <c:v>70-74</c:v>
                  </c:pt>
                  <c:pt idx="3">
                    <c:v>45-49</c:v>
                  </c:pt>
                  <c:pt idx="4">
                    <c:v>50-69</c:v>
                  </c:pt>
                  <c:pt idx="5">
                    <c:v>70-74</c:v>
                  </c:pt>
                </c:lvl>
                <c:lvl>
                  <c:pt idx="0">
                    <c:v>Estensione</c:v>
                  </c:pt>
                  <c:pt idx="3">
                    <c:v>Adesione</c:v>
                  </c:pt>
                  <c:pt idx="6">
                    <c:v>Attesa 2° livello (entro 28 gg)</c:v>
                  </c:pt>
                  <c:pt idx="7">
                    <c:v>Refertazione negativi (entro 21 gg)</c:v>
                  </c:pt>
                </c:lvl>
              </c:multiLvlStrCache>
            </c:multiLvlStrRef>
          </c:cat>
          <c:val>
            <c:numRef>
              <c:f>Foglio1!$J$41:$Q$41</c:f>
              <c:numCache>
                <c:formatCode>0%</c:formatCode>
                <c:ptCount val="8"/>
                <c:pt idx="0">
                  <c:v>0.96799999999999997</c:v>
                </c:pt>
                <c:pt idx="1">
                  <c:v>0.96299999999999997</c:v>
                </c:pt>
                <c:pt idx="2">
                  <c:v>0.97</c:v>
                </c:pt>
                <c:pt idx="3">
                  <c:v>0.68899999999999995</c:v>
                </c:pt>
                <c:pt idx="4">
                  <c:v>0.73699999999999999</c:v>
                </c:pt>
                <c:pt idx="5">
                  <c:v>0.73399999999999999</c:v>
                </c:pt>
                <c:pt idx="6">
                  <c:v>0.6</c:v>
                </c:pt>
                <c:pt idx="7">
                  <c:v>0.77</c:v>
                </c:pt>
              </c:numCache>
            </c:numRef>
          </c:val>
        </c:ser>
        <c:dLbls>
          <c:showLegendKey val="0"/>
          <c:showVal val="1"/>
          <c:showCatName val="0"/>
          <c:showSerName val="0"/>
          <c:showPercent val="0"/>
          <c:showBubbleSize val="0"/>
        </c:dLbls>
        <c:gapWidth val="219"/>
        <c:overlap val="-27"/>
        <c:axId val="143599104"/>
        <c:axId val="143600640"/>
      </c:barChart>
      <c:catAx>
        <c:axId val="14359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143600640"/>
        <c:crosses val="autoZero"/>
        <c:auto val="1"/>
        <c:lblAlgn val="ctr"/>
        <c:lblOffset val="100"/>
        <c:noMultiLvlLbl val="0"/>
      </c:catAx>
      <c:valAx>
        <c:axId val="1436006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14359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100"/>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it-IT"/>
              <a:t>Sinistri</a:t>
            </a:r>
          </a:p>
        </c:rich>
      </c:tx>
      <c:overlay val="0"/>
      <c:spPr>
        <a:noFill/>
        <a:ln>
          <a:noFill/>
        </a:ln>
        <a:effectLst/>
      </c:spPr>
    </c:title>
    <c:autoTitleDeleted val="0"/>
    <c:plotArea>
      <c:layout>
        <c:manualLayout>
          <c:layoutTarget val="inner"/>
          <c:xMode val="edge"/>
          <c:yMode val="edge"/>
          <c:x val="6.1452092317216399E-2"/>
          <c:y val="0.17171296296296301"/>
          <c:w val="0.91485377736506701"/>
          <c:h val="0.55189705453485005"/>
        </c:manualLayout>
      </c:layout>
      <c:barChart>
        <c:barDir val="col"/>
        <c:grouping val="clustered"/>
        <c:varyColors val="0"/>
        <c:ser>
          <c:idx val="0"/>
          <c:order val="0"/>
          <c:tx>
            <c:strRef>
              <c:f>Foglio1!$B$12</c:f>
              <c:strCache>
                <c:ptCount val="1"/>
                <c:pt idx="0">
                  <c:v>Totale sinistri comunicati nel periodo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Foglio1!$C$11:$E$11</c:f>
              <c:strCache>
                <c:ptCount val="3"/>
                <c:pt idx="0">
                  <c:v>2015 assicurazione 01/01 – 30/11</c:v>
                </c:pt>
                <c:pt idx="1">
                  <c:v>2015   Gestione diretta 01/12 – 31/12</c:v>
                </c:pt>
                <c:pt idx="2">
                  <c:v>2016   Gestione Diretta</c:v>
                </c:pt>
              </c:strCache>
            </c:strRef>
          </c:cat>
          <c:val>
            <c:numRef>
              <c:f>Foglio1!$C$12:$E$12</c:f>
              <c:numCache>
                <c:formatCode>General</c:formatCode>
                <c:ptCount val="3"/>
                <c:pt idx="0">
                  <c:v>153</c:v>
                </c:pt>
                <c:pt idx="1">
                  <c:v>13</c:v>
                </c:pt>
                <c:pt idx="2">
                  <c:v>122</c:v>
                </c:pt>
              </c:numCache>
            </c:numRef>
          </c:val>
        </c:ser>
        <c:ser>
          <c:idx val="1"/>
          <c:order val="1"/>
          <c:tx>
            <c:strRef>
              <c:f>Foglio1!$B$13</c:f>
              <c:strCache>
                <c:ptCount val="1"/>
                <c:pt idx="0">
                  <c:v>di cui, Respinti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Foglio1!$C$11:$E$11</c:f>
              <c:strCache>
                <c:ptCount val="3"/>
                <c:pt idx="0">
                  <c:v>2015 assicurazione 01/01 – 30/11</c:v>
                </c:pt>
                <c:pt idx="1">
                  <c:v>2015   Gestione diretta 01/12 – 31/12</c:v>
                </c:pt>
                <c:pt idx="2">
                  <c:v>2016   Gestione Diretta</c:v>
                </c:pt>
              </c:strCache>
            </c:strRef>
          </c:cat>
          <c:val>
            <c:numRef>
              <c:f>Foglio1!$C$13:$E$13</c:f>
              <c:numCache>
                <c:formatCode>General</c:formatCode>
                <c:ptCount val="3"/>
                <c:pt idx="0">
                  <c:v>44</c:v>
                </c:pt>
                <c:pt idx="1">
                  <c:v>5</c:v>
                </c:pt>
                <c:pt idx="2">
                  <c:v>39</c:v>
                </c:pt>
              </c:numCache>
            </c:numRef>
          </c:val>
        </c:ser>
        <c:ser>
          <c:idx val="2"/>
          <c:order val="2"/>
          <c:tx>
            <c:strRef>
              <c:f>Foglio1!$B$14</c:f>
              <c:strCache>
                <c:ptCount val="1"/>
                <c:pt idx="0">
                  <c:v>di cui, Pendenti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Foglio1!$C$11:$E$11</c:f>
              <c:strCache>
                <c:ptCount val="3"/>
                <c:pt idx="0">
                  <c:v>2015 assicurazione 01/01 – 30/11</c:v>
                </c:pt>
                <c:pt idx="1">
                  <c:v>2015   Gestione diretta 01/12 – 31/12</c:v>
                </c:pt>
                <c:pt idx="2">
                  <c:v>2016   Gestione Diretta</c:v>
                </c:pt>
              </c:strCache>
            </c:strRef>
          </c:cat>
          <c:val>
            <c:numRef>
              <c:f>Foglio1!$C$14:$E$14</c:f>
              <c:numCache>
                <c:formatCode>General</c:formatCode>
                <c:ptCount val="3"/>
                <c:pt idx="0">
                  <c:v>45</c:v>
                </c:pt>
                <c:pt idx="1">
                  <c:v>5</c:v>
                </c:pt>
                <c:pt idx="2">
                  <c:v>65</c:v>
                </c:pt>
              </c:numCache>
            </c:numRef>
          </c:val>
        </c:ser>
        <c:ser>
          <c:idx val="3"/>
          <c:order val="3"/>
          <c:tx>
            <c:strRef>
              <c:f>Foglio1!$B$15</c:f>
              <c:strCache>
                <c:ptCount val="1"/>
                <c:pt idx="0">
                  <c:v>di cui, giudizi (tribunale)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Foglio1!$C$11:$E$11</c:f>
              <c:strCache>
                <c:ptCount val="3"/>
                <c:pt idx="0">
                  <c:v>2015 assicurazione 01/01 – 30/11</c:v>
                </c:pt>
                <c:pt idx="1">
                  <c:v>2015   Gestione diretta 01/12 – 31/12</c:v>
                </c:pt>
                <c:pt idx="2">
                  <c:v>2016   Gestione Diretta</c:v>
                </c:pt>
              </c:strCache>
            </c:strRef>
          </c:cat>
          <c:val>
            <c:numRef>
              <c:f>Foglio1!$C$15:$E$15</c:f>
              <c:numCache>
                <c:formatCode>General</c:formatCode>
                <c:ptCount val="3"/>
                <c:pt idx="0">
                  <c:v>12</c:v>
                </c:pt>
                <c:pt idx="1">
                  <c:v>0</c:v>
                </c:pt>
                <c:pt idx="2">
                  <c:v>7</c:v>
                </c:pt>
              </c:numCache>
            </c:numRef>
          </c:val>
        </c:ser>
        <c:ser>
          <c:idx val="4"/>
          <c:order val="4"/>
          <c:tx>
            <c:strRef>
              <c:f>Foglio1!$B$16</c:f>
              <c:strCache>
                <c:ptCount val="1"/>
                <c:pt idx="0">
                  <c:v>di cui, pagati stragiudizialmente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Foglio1!$C$11:$E$11</c:f>
              <c:strCache>
                <c:ptCount val="3"/>
                <c:pt idx="0">
                  <c:v>2015 assicurazione 01/01 – 30/11</c:v>
                </c:pt>
                <c:pt idx="1">
                  <c:v>2015   Gestione diretta 01/12 – 31/12</c:v>
                </c:pt>
                <c:pt idx="2">
                  <c:v>2016   Gestione Diretta</c:v>
                </c:pt>
              </c:strCache>
            </c:strRef>
          </c:cat>
          <c:val>
            <c:numRef>
              <c:f>Foglio1!$C$16:$E$16</c:f>
              <c:numCache>
                <c:formatCode>General</c:formatCode>
                <c:ptCount val="3"/>
                <c:pt idx="0">
                  <c:v>64</c:v>
                </c:pt>
                <c:pt idx="1">
                  <c:v>3</c:v>
                </c:pt>
                <c:pt idx="2">
                  <c:v>18</c:v>
                </c:pt>
              </c:numCache>
            </c:numRef>
          </c:val>
        </c:ser>
        <c:dLbls>
          <c:showLegendKey val="0"/>
          <c:showVal val="1"/>
          <c:showCatName val="0"/>
          <c:showSerName val="0"/>
          <c:showPercent val="0"/>
          <c:showBubbleSize val="0"/>
        </c:dLbls>
        <c:gapWidth val="219"/>
        <c:overlap val="-27"/>
        <c:axId val="143925632"/>
        <c:axId val="143927168"/>
      </c:barChart>
      <c:catAx>
        <c:axId val="14392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t-IT"/>
          </a:p>
        </c:txPr>
        <c:crossAx val="143927168"/>
        <c:crosses val="autoZero"/>
        <c:auto val="1"/>
        <c:lblAlgn val="ctr"/>
        <c:lblOffset val="100"/>
        <c:noMultiLvlLbl val="0"/>
      </c:catAx>
      <c:valAx>
        <c:axId val="1439271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t-IT"/>
          </a:p>
        </c:txPr>
        <c:crossAx val="143925632"/>
        <c:crosses val="autoZero"/>
        <c:crossBetween val="between"/>
      </c:valAx>
      <c:spPr>
        <a:noFill/>
        <a:ln>
          <a:noFill/>
        </a:ln>
        <a:effectLst/>
      </c:spPr>
    </c:plotArea>
    <c:legend>
      <c:legendPos val="b"/>
      <c:layout>
        <c:manualLayout>
          <c:xMode val="edge"/>
          <c:yMode val="edge"/>
          <c:x val="4.6596703683445102E-2"/>
          <c:y val="0.83275298920968199"/>
          <c:w val="0.93050055334359405"/>
          <c:h val="0.13946923301253999"/>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it-IT"/>
              <a:t>Costo</a:t>
            </a:r>
            <a:r>
              <a:rPr lang="it-IT" baseline="0"/>
              <a:t> Sinistri</a:t>
            </a:r>
            <a:endParaRPr lang="it-IT"/>
          </a:p>
        </c:rich>
      </c:tx>
      <c:overlay val="0"/>
      <c:spPr>
        <a:noFill/>
        <a:ln>
          <a:noFill/>
        </a:ln>
        <a:effectLst/>
      </c:spPr>
    </c:title>
    <c:autoTitleDeleted val="0"/>
    <c:plotArea>
      <c:layout/>
      <c:barChart>
        <c:barDir val="col"/>
        <c:grouping val="clustered"/>
        <c:varyColors val="0"/>
        <c:ser>
          <c:idx val="0"/>
          <c:order val="0"/>
          <c:tx>
            <c:strRef>
              <c:f>Foglio1!$B$21</c:f>
              <c:strCache>
                <c:ptCount val="1"/>
                <c:pt idx="0">
                  <c:v>Importo totale liquidato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Foglio1!$C$20:$E$20</c:f>
              <c:strCache>
                <c:ptCount val="3"/>
                <c:pt idx="0">
                  <c:v>2015 assicurazione 01/01 – 30/11</c:v>
                </c:pt>
                <c:pt idx="1">
                  <c:v>2015   Gestione diretta 01/12 – 31/12</c:v>
                </c:pt>
                <c:pt idx="2">
                  <c:v>2016   Gestione Diretta</c:v>
                </c:pt>
              </c:strCache>
            </c:strRef>
          </c:cat>
          <c:val>
            <c:numRef>
              <c:f>Foglio1!$C$21:$E$21</c:f>
              <c:numCache>
                <c:formatCode>#,##0.0</c:formatCode>
                <c:ptCount val="3"/>
                <c:pt idx="0">
                  <c:v>3126295.86</c:v>
                </c:pt>
                <c:pt idx="1">
                  <c:v>77727.149999999994</c:v>
                </c:pt>
                <c:pt idx="2">
                  <c:v>434225.81</c:v>
                </c:pt>
              </c:numCache>
            </c:numRef>
          </c:val>
        </c:ser>
        <c:ser>
          <c:idx val="1"/>
          <c:order val="1"/>
          <c:tx>
            <c:strRef>
              <c:f>Foglio1!$B$22</c:f>
              <c:strCache>
                <c:ptCount val="1"/>
                <c:pt idx="0">
                  <c:v>Quota a carico AUSL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Foglio1!$C$20:$E$20</c:f>
              <c:strCache>
                <c:ptCount val="3"/>
                <c:pt idx="0">
                  <c:v>2015 assicurazione 01/01 – 30/11</c:v>
                </c:pt>
                <c:pt idx="1">
                  <c:v>2015   Gestione diretta 01/12 – 31/12</c:v>
                </c:pt>
                <c:pt idx="2">
                  <c:v>2016   Gestione Diretta</c:v>
                </c:pt>
              </c:strCache>
            </c:strRef>
          </c:cat>
          <c:val>
            <c:numRef>
              <c:f>Foglio1!$C$22:$E$22</c:f>
              <c:numCache>
                <c:formatCode>#,##0.0</c:formatCode>
                <c:ptCount val="3"/>
                <c:pt idx="0">
                  <c:v>1122527.56</c:v>
                </c:pt>
                <c:pt idx="1">
                  <c:v>77727.149999999994</c:v>
                </c:pt>
                <c:pt idx="2">
                  <c:v>434225.81</c:v>
                </c:pt>
              </c:numCache>
            </c:numRef>
          </c:val>
        </c:ser>
        <c:ser>
          <c:idx val="2"/>
          <c:order val="2"/>
          <c:tx>
            <c:strRef>
              <c:f>Foglio1!$B$23</c:f>
              <c:strCache>
                <c:ptCount val="1"/>
                <c:pt idx="0">
                  <c:v>Premio assicurativo di competenza dell’anno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Foglio1!$C$20:$E$20</c:f>
              <c:strCache>
                <c:ptCount val="3"/>
                <c:pt idx="0">
                  <c:v>2015 assicurazione 01/01 – 30/11</c:v>
                </c:pt>
                <c:pt idx="1">
                  <c:v>2015   Gestione diretta 01/12 – 31/12</c:v>
                </c:pt>
                <c:pt idx="2">
                  <c:v>2016   Gestione Diretta</c:v>
                </c:pt>
              </c:strCache>
            </c:strRef>
          </c:cat>
          <c:val>
            <c:numRef>
              <c:f>Foglio1!$C$23:$E$23</c:f>
              <c:numCache>
                <c:formatCode>#,##0.0</c:formatCode>
                <c:ptCount val="3"/>
                <c:pt idx="0">
                  <c:v>5720000</c:v>
                </c:pt>
                <c:pt idx="1">
                  <c:v>0</c:v>
                </c:pt>
                <c:pt idx="2">
                  <c:v>0</c:v>
                </c:pt>
              </c:numCache>
            </c:numRef>
          </c:val>
        </c:ser>
        <c:dLbls>
          <c:showLegendKey val="0"/>
          <c:showVal val="1"/>
          <c:showCatName val="0"/>
          <c:showSerName val="0"/>
          <c:showPercent val="0"/>
          <c:showBubbleSize val="0"/>
        </c:dLbls>
        <c:gapWidth val="219"/>
        <c:overlap val="-27"/>
        <c:axId val="143971072"/>
        <c:axId val="143972608"/>
      </c:barChart>
      <c:catAx>
        <c:axId val="14397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t-IT"/>
          </a:p>
        </c:txPr>
        <c:crossAx val="143972608"/>
        <c:crosses val="autoZero"/>
        <c:auto val="1"/>
        <c:lblAlgn val="ctr"/>
        <c:lblOffset val="100"/>
        <c:noMultiLvlLbl val="0"/>
      </c:catAx>
      <c:valAx>
        <c:axId val="143972608"/>
        <c:scaling>
          <c:orientation val="minMax"/>
          <c:max val="6000000"/>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t-IT"/>
          </a:p>
        </c:txPr>
        <c:crossAx val="143971072"/>
        <c:crosses val="autoZero"/>
        <c:crossBetween val="between"/>
        <c:dispUnits>
          <c:builtInUnit val="millions"/>
          <c:dispUnitsLbl>
            <c:spPr>
              <a:noFill/>
              <a:ln>
                <a:noFill/>
              </a:ln>
              <a:effectLst/>
            </c:spPr>
            <c:txPr>
              <a:bodyPr rot="-5400000" spcFirstLastPara="1" vertOverflow="ellipsis" vert="horz" wrap="square" anchor="ctr" anchorCtr="1">
                <a:spAutoFit/>
              </a:bodyPr>
              <a:lstStyle/>
              <a:p>
                <a:pPr>
                  <a:defRPr lang="en-US" sz="10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legend>
      <c:legendPos val="b"/>
      <c:layout>
        <c:manualLayout>
          <c:xMode val="edge"/>
          <c:yMode val="edge"/>
          <c:x val="4.5108923884514401E-2"/>
          <c:y val="0.86516039661708999"/>
          <c:w val="0.94311548556430402"/>
          <c:h val="0.107061825605133"/>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Indicatori SIVER Piano Performance 2016-2018 - ANNO 2016</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dPt>
          <c:dPt>
            <c:idx val="1"/>
            <c:invertIfNegative val="0"/>
            <c:bubble3D val="0"/>
            <c:spPr>
              <a:solidFill>
                <a:srgbClr val="92D050"/>
              </a:solidFill>
              <a:ln>
                <a:noFill/>
              </a:ln>
              <a:effectLst/>
            </c:spPr>
          </c:dPt>
          <c:dPt>
            <c:idx val="2"/>
            <c:invertIfNegative val="0"/>
            <c:bubble3D val="0"/>
            <c:spPr>
              <a:solidFill>
                <a:srgbClr val="FFFF00"/>
              </a:solidFill>
              <a:ln>
                <a:noFill/>
              </a:ln>
              <a:effectLst/>
            </c:spPr>
          </c:dPt>
          <c:dPt>
            <c:idx val="3"/>
            <c:invertIfNegative val="0"/>
            <c:bubble3D val="0"/>
            <c:spPr>
              <a:solidFill>
                <a:srgbClr val="FFC000"/>
              </a:solidFill>
              <a:ln>
                <a:noFill/>
              </a:ln>
              <a:effectLst/>
            </c:spPr>
          </c:dPt>
          <c:dPt>
            <c:idx val="4"/>
            <c:invertIfNegative val="0"/>
            <c:bubble3D val="0"/>
            <c:spPr>
              <a:solidFill>
                <a:srgbClr val="FFC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Totale!$F$21:$F$25</c:f>
              <c:strCache>
                <c:ptCount val="5"/>
                <c:pt idx="0">
                  <c:v>Ottimo</c:v>
                </c:pt>
                <c:pt idx="1">
                  <c:v>Buono</c:v>
                </c:pt>
                <c:pt idx="2">
                  <c:v>Medio</c:v>
                </c:pt>
                <c:pt idx="3">
                  <c:v>Scarso</c:v>
                </c:pt>
                <c:pt idx="4">
                  <c:v>Pessimo</c:v>
                </c:pt>
              </c:strCache>
            </c:strRef>
          </c:cat>
          <c:val>
            <c:numRef>
              <c:f>Totale!$G$21:$G$25</c:f>
              <c:numCache>
                <c:formatCode>General</c:formatCode>
                <c:ptCount val="5"/>
                <c:pt idx="0">
                  <c:v>13</c:v>
                </c:pt>
                <c:pt idx="1">
                  <c:v>16</c:v>
                </c:pt>
                <c:pt idx="2">
                  <c:v>7</c:v>
                </c:pt>
                <c:pt idx="3">
                  <c:v>2</c:v>
                </c:pt>
                <c:pt idx="4">
                  <c:v>0</c:v>
                </c:pt>
              </c:numCache>
            </c:numRef>
          </c:val>
        </c:ser>
        <c:dLbls>
          <c:dLblPos val="outEnd"/>
          <c:showLegendKey val="0"/>
          <c:showVal val="1"/>
          <c:showCatName val="0"/>
          <c:showSerName val="0"/>
          <c:showPercent val="0"/>
          <c:showBubbleSize val="0"/>
        </c:dLbls>
        <c:gapWidth val="219"/>
        <c:overlap val="-27"/>
        <c:axId val="144066432"/>
        <c:axId val="144095872"/>
      </c:barChart>
      <c:catAx>
        <c:axId val="1440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095872"/>
        <c:crosses val="autoZero"/>
        <c:auto val="1"/>
        <c:lblAlgn val="ctr"/>
        <c:lblOffset val="100"/>
        <c:noMultiLvlLbl val="0"/>
      </c:catAx>
      <c:valAx>
        <c:axId val="1440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06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80" b="0" i="0" u="none" strike="noStrike" kern="1200" spc="0" baseline="0">
                <a:solidFill>
                  <a:schemeClr val="tx1">
                    <a:lumMod val="65000"/>
                    <a:lumOff val="35000"/>
                  </a:schemeClr>
                </a:solidFill>
                <a:latin typeface="+mn-lt"/>
                <a:ea typeface="+mn-ea"/>
                <a:cs typeface="+mn-cs"/>
              </a:defRPr>
            </a:pPr>
            <a:r>
              <a:rPr lang="it-IT"/>
              <a:t>Costo pro capite Totale (€)</a:t>
            </a:r>
          </a:p>
        </c:rich>
      </c:tx>
      <c:overlay val="0"/>
      <c:spPr>
        <a:noFill/>
        <a:ln>
          <a:noFill/>
        </a:ln>
        <a:effectLst/>
      </c:spPr>
    </c:title>
    <c:autoTitleDeleted val="0"/>
    <c:plotArea>
      <c:layout/>
      <c:barChart>
        <c:barDir val="col"/>
        <c:grouping val="clustered"/>
        <c:varyColors val="0"/>
        <c:ser>
          <c:idx val="0"/>
          <c:order val="0"/>
          <c:tx>
            <c:strRef>
              <c:f>Azienda!$B$15</c:f>
              <c:strCache>
                <c:ptCount val="1"/>
                <c:pt idx="0">
                  <c:v>AUSL MO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4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Azienda!$A$16:$A$18</c:f>
              <c:numCache>
                <c:formatCode>General</c:formatCode>
                <c:ptCount val="3"/>
                <c:pt idx="0">
                  <c:v>2013</c:v>
                </c:pt>
                <c:pt idx="1">
                  <c:v>2014</c:v>
                </c:pt>
                <c:pt idx="2">
                  <c:v>2015</c:v>
                </c:pt>
              </c:numCache>
            </c:numRef>
          </c:cat>
          <c:val>
            <c:numRef>
              <c:f>Azienda!$B$16:$B$18</c:f>
              <c:numCache>
                <c:formatCode>#,##0</c:formatCode>
                <c:ptCount val="3"/>
                <c:pt idx="0">
                  <c:v>1805.61</c:v>
                </c:pt>
                <c:pt idx="1">
                  <c:v>1815.94</c:v>
                </c:pt>
                <c:pt idx="2">
                  <c:v>1830.91</c:v>
                </c:pt>
              </c:numCache>
            </c:numRef>
          </c:val>
        </c:ser>
        <c:ser>
          <c:idx val="1"/>
          <c:order val="1"/>
          <c:tx>
            <c:strRef>
              <c:f>Azienda!$C$15</c:f>
              <c:strCache>
                <c:ptCount val="1"/>
                <c:pt idx="0">
                  <c:v>RER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4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Azienda!$A$16:$A$18</c:f>
              <c:numCache>
                <c:formatCode>General</c:formatCode>
                <c:ptCount val="3"/>
                <c:pt idx="0">
                  <c:v>2013</c:v>
                </c:pt>
                <c:pt idx="1">
                  <c:v>2014</c:v>
                </c:pt>
                <c:pt idx="2">
                  <c:v>2015</c:v>
                </c:pt>
              </c:numCache>
            </c:numRef>
          </c:cat>
          <c:val>
            <c:numRef>
              <c:f>Azienda!$C$16:$C$18</c:f>
              <c:numCache>
                <c:formatCode>#,##0</c:formatCode>
                <c:ptCount val="3"/>
                <c:pt idx="0">
                  <c:v>1810.27</c:v>
                </c:pt>
                <c:pt idx="1">
                  <c:v>1823.12</c:v>
                </c:pt>
                <c:pt idx="2">
                  <c:v>1843.79</c:v>
                </c:pt>
              </c:numCache>
            </c:numRef>
          </c:val>
        </c:ser>
        <c:dLbls>
          <c:showLegendKey val="0"/>
          <c:showVal val="1"/>
          <c:showCatName val="0"/>
          <c:showSerName val="0"/>
          <c:showPercent val="0"/>
          <c:showBubbleSize val="0"/>
        </c:dLbls>
        <c:gapWidth val="219"/>
        <c:overlap val="-27"/>
        <c:axId val="143352960"/>
        <c:axId val="143354112"/>
      </c:barChart>
      <c:catAx>
        <c:axId val="14335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400" b="0" i="0" u="none" strike="noStrike" kern="1200" baseline="0">
                <a:solidFill>
                  <a:schemeClr val="tx1">
                    <a:lumMod val="65000"/>
                    <a:lumOff val="35000"/>
                  </a:schemeClr>
                </a:solidFill>
                <a:latin typeface="+mn-lt"/>
                <a:ea typeface="+mn-ea"/>
                <a:cs typeface="+mn-cs"/>
              </a:defRPr>
            </a:pPr>
            <a:endParaRPr lang="it-IT"/>
          </a:p>
        </c:txPr>
        <c:crossAx val="143354112"/>
        <c:crosses val="autoZero"/>
        <c:auto val="1"/>
        <c:lblAlgn val="ctr"/>
        <c:lblOffset val="100"/>
        <c:noMultiLvlLbl val="0"/>
      </c:catAx>
      <c:valAx>
        <c:axId val="1433541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400" b="0" i="0" u="none" strike="noStrike" kern="1200" baseline="0">
                <a:solidFill>
                  <a:schemeClr val="tx1">
                    <a:lumMod val="65000"/>
                    <a:lumOff val="35000"/>
                  </a:schemeClr>
                </a:solidFill>
                <a:latin typeface="+mn-lt"/>
                <a:ea typeface="+mn-ea"/>
                <a:cs typeface="+mn-cs"/>
              </a:defRPr>
            </a:pPr>
            <a:endParaRPr lang="it-IT"/>
          </a:p>
        </c:txPr>
        <c:crossAx val="14335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4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400"/>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320" b="0" i="0" u="none" strike="noStrike" kern="1200" spc="0" baseline="0">
                <a:solidFill>
                  <a:schemeClr val="tx1">
                    <a:lumMod val="65000"/>
                    <a:lumOff val="35000"/>
                  </a:schemeClr>
                </a:solidFill>
                <a:latin typeface="+mn-lt"/>
                <a:ea typeface="+mn-ea"/>
                <a:cs typeface="+mn-cs"/>
              </a:defRPr>
            </a:pPr>
            <a:r>
              <a:rPr lang="it-IT"/>
              <a:t>Totale Personale Dipendente</a:t>
            </a:r>
          </a:p>
        </c:rich>
      </c:tx>
      <c:overlay val="0"/>
      <c:spPr>
        <a:noFill/>
        <a:ln>
          <a:noFill/>
        </a:ln>
        <a:effectLst/>
      </c:spPr>
    </c:title>
    <c:autoTitleDeleted val="0"/>
    <c:plotArea>
      <c:layout/>
      <c:barChart>
        <c:barDir val="col"/>
        <c:grouping val="clustered"/>
        <c:varyColors val="0"/>
        <c:ser>
          <c:idx val="0"/>
          <c:order val="0"/>
          <c:tx>
            <c:strRef>
              <c:f>Foglio13!$A$35</c:f>
              <c:strCache>
                <c:ptCount val="1"/>
                <c:pt idx="0">
                  <c:v>Totale Personale dipendente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Foglio13!$B$34:$D$34</c:f>
              <c:strCache>
                <c:ptCount val="3"/>
                <c:pt idx="0">
                  <c:v>Consuntivo 2014</c:v>
                </c:pt>
                <c:pt idx="1">
                  <c:v>Consuntivo 2015</c:v>
                </c:pt>
                <c:pt idx="2">
                  <c:v>Consuntivo 2016</c:v>
                </c:pt>
              </c:strCache>
            </c:strRef>
          </c:cat>
          <c:val>
            <c:numRef>
              <c:f>Foglio13!$B$35:$D$35</c:f>
              <c:numCache>
                <c:formatCode>#,##0</c:formatCode>
                <c:ptCount val="3"/>
                <c:pt idx="0">
                  <c:v>286694556</c:v>
                </c:pt>
                <c:pt idx="1">
                  <c:v>284947901.07999998</c:v>
                </c:pt>
                <c:pt idx="2">
                  <c:v>282817293</c:v>
                </c:pt>
              </c:numCache>
            </c:numRef>
          </c:val>
        </c:ser>
        <c:dLbls>
          <c:showLegendKey val="0"/>
          <c:showVal val="0"/>
          <c:showCatName val="0"/>
          <c:showSerName val="0"/>
          <c:showPercent val="0"/>
          <c:showBubbleSize val="0"/>
        </c:dLbls>
        <c:gapWidth val="219"/>
        <c:overlap val="-27"/>
        <c:axId val="141896320"/>
        <c:axId val="144417152"/>
      </c:barChart>
      <c:catAx>
        <c:axId val="14189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144417152"/>
        <c:crosses val="autoZero"/>
        <c:auto val="1"/>
        <c:lblAlgn val="ctr"/>
        <c:lblOffset val="100"/>
        <c:noMultiLvlLbl val="0"/>
      </c:catAx>
      <c:valAx>
        <c:axId val="1444171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141896320"/>
        <c:crosses val="autoZero"/>
        <c:crossBetween val="between"/>
        <c:dispUnits>
          <c:builtInUnit val="millions"/>
          <c:dispUnitsLbl>
            <c:spPr>
              <a:noFill/>
              <a:ln>
                <a:noFill/>
              </a:ln>
              <a:effectLst/>
            </c:spPr>
            <c:txPr>
              <a:bodyPr rot="-5400000" spcFirstLastPara="1" vertOverflow="ellipsis" vert="horz" wrap="square" anchor="ctr" anchorCtr="1">
                <a:spAutoFit/>
              </a:bodyPr>
              <a:lstStyle/>
              <a:p>
                <a:pPr>
                  <a:defRPr lang="en-US" sz="11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en-US" sz="1100"/>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78EC42-48DC-4DAE-9E6E-225BAC217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18530</Words>
  <Characters>105626</Characters>
  <Application>Microsoft Office Word</Application>
  <DocSecurity>0</DocSecurity>
  <Lines>880</Lines>
  <Paragraphs>247</Paragraphs>
  <ScaleCrop>false</ScaleCrop>
  <HeadingPairs>
    <vt:vector size="2" baseType="variant">
      <vt:variant>
        <vt:lpstr>Titolo</vt:lpstr>
      </vt:variant>
      <vt:variant>
        <vt:i4>1</vt:i4>
      </vt:variant>
    </vt:vector>
  </HeadingPairs>
  <TitlesOfParts>
    <vt:vector size="1" baseType="lpstr">
      <vt:lpstr>ORGANISMO INDIPENDENTE DI VALUTAZIONE DELLE AZIENDE ED ENTI DEL SSR DELLA REGIONE EMILIA-ROMAGNA</vt:lpstr>
    </vt:vector>
  </TitlesOfParts>
  <Company>Regione Emilia-Romagna</Company>
  <LinksUpToDate>false</LinksUpToDate>
  <CharactersWithSpaces>123909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ORGANISMO INDIPENDENTE DI VALUTAZIONE DELLE AZIENDE ED ENTI DEL SSR DELLA REGIONE EMILIA-ROMAGNA</dc:title>
  <dc:creator>Lega-Masseroni-Rotondi</dc:creator>
  <cp:lastModifiedBy>Vanoli Marco</cp:lastModifiedBy>
  <cp:revision>2</cp:revision>
  <cp:lastPrinted>2017-06-28T14:19:00Z</cp:lastPrinted>
  <dcterms:created xsi:type="dcterms:W3CDTF">2017-07-04T12:48:00Z</dcterms:created>
  <dcterms:modified xsi:type="dcterms:W3CDTF">2017-07-04T12:48:00Z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Regione Emilia-Romagna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1033-10.2.0.5871</vt:lpwstr>
  </property>
</Properties>
</file>