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27519" w:rsidRDefault="00E27519">
      <w:pPr>
        <w:jc w:val="center"/>
        <w:rPr>
          <w:b/>
          <w:sz w:val="28"/>
          <w:szCs w:val="28"/>
        </w:rPr>
      </w:pPr>
    </w:p>
    <w:p w:rsidR="00AF4BCB" w:rsidRDefault="00AF4BCB">
      <w:pPr>
        <w:jc w:val="center"/>
        <w:rPr>
          <w:b/>
          <w:sz w:val="28"/>
          <w:szCs w:val="28"/>
        </w:rPr>
      </w:pPr>
    </w:p>
    <w:p w:rsidR="00E27519" w:rsidRDefault="00E27519">
      <w:pPr>
        <w:jc w:val="center"/>
        <w:rPr>
          <w:b/>
          <w:sz w:val="28"/>
          <w:szCs w:val="28"/>
        </w:rPr>
      </w:pPr>
    </w:p>
    <w:p w:rsidR="00E27519" w:rsidRDefault="00E27519">
      <w:pPr>
        <w:jc w:val="center"/>
        <w:rPr>
          <w:b/>
          <w:sz w:val="28"/>
          <w:szCs w:val="28"/>
        </w:rPr>
      </w:pPr>
    </w:p>
    <w:p w:rsidR="00E27519" w:rsidRDefault="00E27519">
      <w:pPr>
        <w:jc w:val="center"/>
        <w:rPr>
          <w:b/>
          <w:sz w:val="28"/>
          <w:szCs w:val="28"/>
        </w:rPr>
      </w:pPr>
    </w:p>
    <w:p w:rsidR="00E27519" w:rsidRDefault="00E27519">
      <w:pPr>
        <w:jc w:val="center"/>
        <w:rPr>
          <w:b/>
          <w:sz w:val="28"/>
          <w:szCs w:val="28"/>
        </w:rPr>
      </w:pPr>
    </w:p>
    <w:p w:rsidR="00E27519" w:rsidRDefault="00E27519">
      <w:pPr>
        <w:jc w:val="center"/>
        <w:rPr>
          <w:b/>
          <w:sz w:val="28"/>
          <w:szCs w:val="28"/>
        </w:rPr>
      </w:pPr>
    </w:p>
    <w:p w:rsidR="00E27519" w:rsidRDefault="00E27519">
      <w:pPr>
        <w:jc w:val="center"/>
        <w:rPr>
          <w:b/>
          <w:sz w:val="28"/>
          <w:szCs w:val="28"/>
        </w:rPr>
      </w:pPr>
    </w:p>
    <w:p w:rsidR="00E27519" w:rsidRDefault="00E27519">
      <w:pPr>
        <w:jc w:val="center"/>
        <w:rPr>
          <w:b/>
          <w:sz w:val="28"/>
          <w:szCs w:val="28"/>
        </w:rPr>
      </w:pPr>
    </w:p>
    <w:p w:rsidR="00E27519" w:rsidRDefault="0003178C">
      <w:pPr>
        <w:jc w:val="center"/>
        <w:rPr>
          <w:b/>
          <w:sz w:val="72"/>
          <w:szCs w:val="72"/>
        </w:rPr>
      </w:pPr>
      <w:r>
        <w:rPr>
          <w:b/>
          <w:sz w:val="72"/>
          <w:szCs w:val="72"/>
        </w:rPr>
        <w:t>Relazione sulla Performance</w:t>
      </w:r>
    </w:p>
    <w:p w:rsidR="00E27519" w:rsidRDefault="00E27519">
      <w:pPr>
        <w:jc w:val="center"/>
        <w:rPr>
          <w:b/>
          <w:sz w:val="72"/>
          <w:szCs w:val="72"/>
        </w:rPr>
      </w:pPr>
    </w:p>
    <w:p w:rsidR="00E27519" w:rsidRDefault="00577D4F">
      <w:pPr>
        <w:jc w:val="center"/>
        <w:rPr>
          <w:b/>
          <w:sz w:val="72"/>
          <w:szCs w:val="72"/>
        </w:rPr>
      </w:pPr>
      <w:r>
        <w:rPr>
          <w:b/>
          <w:sz w:val="72"/>
          <w:szCs w:val="72"/>
        </w:rPr>
        <w:t>2017</w:t>
      </w:r>
    </w:p>
    <w:p w:rsidR="00E27519" w:rsidRDefault="00E27519">
      <w:pPr>
        <w:jc w:val="center"/>
        <w:rPr>
          <w:b/>
          <w:sz w:val="72"/>
          <w:szCs w:val="72"/>
        </w:rPr>
      </w:pPr>
    </w:p>
    <w:p w:rsidR="00E27519" w:rsidRDefault="00E27519">
      <w:pPr>
        <w:jc w:val="center"/>
        <w:rPr>
          <w:b/>
          <w:sz w:val="28"/>
          <w:szCs w:val="28"/>
        </w:rPr>
      </w:pPr>
    </w:p>
    <w:p w:rsidR="00172D89" w:rsidRDefault="00172D89">
      <w:pPr>
        <w:jc w:val="center"/>
        <w:rPr>
          <w:b/>
          <w:sz w:val="28"/>
          <w:szCs w:val="28"/>
        </w:rPr>
      </w:pPr>
    </w:p>
    <w:p w:rsidR="00E27519" w:rsidRDefault="00E27519">
      <w:pPr>
        <w:jc w:val="center"/>
        <w:rPr>
          <w:b/>
          <w:sz w:val="28"/>
          <w:szCs w:val="28"/>
        </w:rPr>
      </w:pPr>
    </w:p>
    <w:p w:rsidR="00E27519" w:rsidRDefault="00E27519">
      <w:pPr>
        <w:jc w:val="center"/>
        <w:rPr>
          <w:b/>
          <w:sz w:val="28"/>
          <w:szCs w:val="28"/>
        </w:rPr>
      </w:pPr>
    </w:p>
    <w:p w:rsidR="00E27519" w:rsidRPr="00172D89" w:rsidRDefault="00AF4BCB">
      <w:pPr>
        <w:jc w:val="center"/>
        <w:rPr>
          <w:sz w:val="28"/>
          <w:szCs w:val="28"/>
        </w:rPr>
      </w:pPr>
      <w:r>
        <w:rPr>
          <w:sz w:val="28"/>
          <w:szCs w:val="28"/>
        </w:rPr>
        <w:t>30 giugno 2018</w:t>
      </w:r>
    </w:p>
    <w:p w:rsidR="00E27519" w:rsidRDefault="0003178C">
      <w:pPr>
        <w:suppressAutoHyphens w:val="0"/>
        <w:spacing w:before="0"/>
        <w:rPr>
          <w:rFonts w:ascii="Cambria" w:hAnsi="Cambria" w:cs="Cambria"/>
          <w:b/>
          <w:smallCaps/>
          <w:sz w:val="26"/>
          <w:szCs w:val="22"/>
        </w:rPr>
      </w:pPr>
      <w:r>
        <w:br w:type="page"/>
      </w:r>
      <w:bookmarkStart w:id="0" w:name="_GoBack"/>
      <w:bookmarkEnd w:id="0"/>
    </w:p>
    <w:p w:rsidR="00E27519" w:rsidRDefault="0003178C">
      <w:pPr>
        <w:rPr>
          <w:b/>
          <w:bCs/>
        </w:rPr>
      </w:pPr>
      <w:r>
        <w:rPr>
          <w:bCs/>
        </w:rPr>
        <w:lastRenderedPageBreak/>
        <w:tab/>
      </w:r>
      <w:r>
        <w:rPr>
          <w:bCs/>
        </w:rPr>
        <w:tab/>
      </w:r>
      <w:r>
        <w:rPr>
          <w:bCs/>
        </w:rPr>
        <w:tab/>
      </w:r>
      <w:r>
        <w:rPr>
          <w:bCs/>
        </w:rPr>
        <w:tab/>
      </w:r>
      <w:r>
        <w:rPr>
          <w:bCs/>
        </w:rPr>
        <w:tab/>
      </w:r>
    </w:p>
    <w:bookmarkStart w:id="1" w:name="_Toc462861711" w:displacedByCustomXml="next"/>
    <w:bookmarkStart w:id="2" w:name="_Toc483819270" w:displacedByCustomXml="next"/>
    <w:bookmarkStart w:id="3" w:name="_Toc483824420" w:displacedByCustomXml="next"/>
    <w:bookmarkStart w:id="4" w:name="_Toc486415527" w:displacedByCustomXml="next"/>
    <w:bookmarkStart w:id="5" w:name="_Toc518040043" w:displacedByCustomXml="next"/>
    <w:sdt>
      <w:sdtPr>
        <w:rPr>
          <w:rFonts w:ascii="Calibri" w:hAnsi="Calibri" w:cs="Calibri"/>
          <w:b w:val="0"/>
          <w:bCs w:val="0"/>
          <w:color w:val="auto"/>
          <w:sz w:val="22"/>
          <w:szCs w:val="20"/>
          <w:lang w:eastAsia="hi-IN" w:bidi="hi-IN"/>
        </w:rPr>
        <w:id w:val="253854566"/>
      </w:sdtPr>
      <w:sdtEndPr/>
      <w:sdtContent>
        <w:p w:rsidR="00E27519" w:rsidRDefault="0003178C">
          <w:pPr>
            <w:pStyle w:val="Titolosommario1"/>
            <w:rPr>
              <w:rFonts w:ascii="Calibri" w:eastAsia="Calibri" w:hAnsi="Calibri" w:cs="Calibri"/>
              <w:bCs w:val="0"/>
              <w:color w:val="auto"/>
              <w:szCs w:val="20"/>
              <w:lang w:eastAsia="en-US" w:bidi="hi-IN"/>
            </w:rPr>
          </w:pPr>
          <w:r>
            <w:rPr>
              <w:rFonts w:ascii="Calibri" w:eastAsia="Calibri" w:hAnsi="Calibri" w:cs="Calibri"/>
              <w:bCs w:val="0"/>
              <w:color w:val="auto"/>
              <w:szCs w:val="20"/>
              <w:lang w:eastAsia="en-US" w:bidi="hi-IN"/>
            </w:rPr>
            <w:t>Sommario</w:t>
          </w:r>
          <w:bookmarkEnd w:id="5"/>
          <w:bookmarkEnd w:id="4"/>
          <w:bookmarkEnd w:id="3"/>
          <w:bookmarkEnd w:id="2"/>
          <w:bookmarkEnd w:id="1"/>
        </w:p>
        <w:p w:rsidR="002A4228" w:rsidRDefault="0003178C">
          <w:pPr>
            <w:pStyle w:val="Sommario1"/>
            <w:rPr>
              <w:rFonts w:asciiTheme="minorHAnsi" w:eastAsiaTheme="minorEastAsia" w:hAnsiTheme="minorHAnsi" w:cstheme="minorBidi"/>
              <w:noProof/>
              <w:szCs w:val="22"/>
              <w:lang w:eastAsia="it-IT" w:bidi="ar-SA"/>
            </w:rPr>
          </w:pPr>
          <w:r>
            <w:fldChar w:fldCharType="begin"/>
          </w:r>
          <w:r>
            <w:instrText>TOC \z \o "1-3" \u \h</w:instrText>
          </w:r>
          <w:r>
            <w:fldChar w:fldCharType="separate"/>
          </w:r>
          <w:hyperlink w:anchor="_Toc518040043" w:history="1">
            <w:r w:rsidR="002A4228" w:rsidRPr="0013341F">
              <w:rPr>
                <w:rStyle w:val="Collegamentoipertestuale"/>
                <w:rFonts w:eastAsia="Calibri" w:cs="Calibri"/>
                <w:noProof/>
                <w:lang w:eastAsia="en-US"/>
              </w:rPr>
              <w:t>Sommario</w:t>
            </w:r>
            <w:r w:rsidR="002A4228">
              <w:rPr>
                <w:noProof/>
                <w:webHidden/>
              </w:rPr>
              <w:tab/>
            </w:r>
            <w:r w:rsidR="002A4228">
              <w:rPr>
                <w:noProof/>
                <w:webHidden/>
              </w:rPr>
              <w:fldChar w:fldCharType="begin"/>
            </w:r>
            <w:r w:rsidR="002A4228">
              <w:rPr>
                <w:noProof/>
                <w:webHidden/>
              </w:rPr>
              <w:instrText xml:space="preserve"> PAGEREF _Toc518040043 \h </w:instrText>
            </w:r>
            <w:r w:rsidR="002A4228">
              <w:rPr>
                <w:noProof/>
                <w:webHidden/>
              </w:rPr>
            </w:r>
            <w:r w:rsidR="002A4228">
              <w:rPr>
                <w:noProof/>
                <w:webHidden/>
              </w:rPr>
              <w:fldChar w:fldCharType="separate"/>
            </w:r>
            <w:r w:rsidR="001A1099">
              <w:rPr>
                <w:noProof/>
                <w:webHidden/>
              </w:rPr>
              <w:t>2</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44" w:history="1">
            <w:r w:rsidR="002A4228" w:rsidRPr="0013341F">
              <w:rPr>
                <w:rStyle w:val="Collegamentoipertestuale"/>
                <w:noProof/>
              </w:rPr>
              <w:t>Premessa</w:t>
            </w:r>
            <w:r w:rsidR="002A4228">
              <w:rPr>
                <w:noProof/>
                <w:webHidden/>
              </w:rPr>
              <w:tab/>
            </w:r>
            <w:r w:rsidR="002A4228">
              <w:rPr>
                <w:noProof/>
                <w:webHidden/>
              </w:rPr>
              <w:fldChar w:fldCharType="begin"/>
            </w:r>
            <w:r w:rsidR="002A4228">
              <w:rPr>
                <w:noProof/>
                <w:webHidden/>
              </w:rPr>
              <w:instrText xml:space="preserve"> PAGEREF _Toc518040044 \h </w:instrText>
            </w:r>
            <w:r w:rsidR="002A4228">
              <w:rPr>
                <w:noProof/>
                <w:webHidden/>
              </w:rPr>
            </w:r>
            <w:r w:rsidR="002A4228">
              <w:rPr>
                <w:noProof/>
                <w:webHidden/>
              </w:rPr>
              <w:fldChar w:fldCharType="separate"/>
            </w:r>
            <w:r w:rsidR="001A1099">
              <w:rPr>
                <w:noProof/>
                <w:webHidden/>
              </w:rPr>
              <w:t>4</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45" w:history="1">
            <w:r w:rsidR="002A4228" w:rsidRPr="0013341F">
              <w:rPr>
                <w:rStyle w:val="Collegamentoipertestuale"/>
                <w:noProof/>
              </w:rPr>
              <w:t>Executive Summary</w:t>
            </w:r>
            <w:r w:rsidR="002A4228">
              <w:rPr>
                <w:noProof/>
                <w:webHidden/>
              </w:rPr>
              <w:tab/>
            </w:r>
            <w:r w:rsidR="002A4228">
              <w:rPr>
                <w:noProof/>
                <w:webHidden/>
              </w:rPr>
              <w:fldChar w:fldCharType="begin"/>
            </w:r>
            <w:r w:rsidR="002A4228">
              <w:rPr>
                <w:noProof/>
                <w:webHidden/>
              </w:rPr>
              <w:instrText xml:space="preserve"> PAGEREF _Toc518040045 \h </w:instrText>
            </w:r>
            <w:r w:rsidR="002A4228">
              <w:rPr>
                <w:noProof/>
                <w:webHidden/>
              </w:rPr>
            </w:r>
            <w:r w:rsidR="002A4228">
              <w:rPr>
                <w:noProof/>
                <w:webHidden/>
              </w:rPr>
              <w:fldChar w:fldCharType="separate"/>
            </w:r>
            <w:r w:rsidR="001A1099">
              <w:rPr>
                <w:noProof/>
                <w:webHidden/>
              </w:rPr>
              <w:t>4</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46" w:history="1">
            <w:r w:rsidR="002A4228" w:rsidRPr="0013341F">
              <w:rPr>
                <w:rStyle w:val="Collegamentoipertestuale"/>
                <w:noProof/>
              </w:rPr>
              <w:t>Le aree strategiche di intervento del piano della performance</w:t>
            </w:r>
            <w:r w:rsidR="002A4228">
              <w:rPr>
                <w:noProof/>
                <w:webHidden/>
              </w:rPr>
              <w:tab/>
            </w:r>
            <w:r w:rsidR="002A4228">
              <w:rPr>
                <w:noProof/>
                <w:webHidden/>
              </w:rPr>
              <w:fldChar w:fldCharType="begin"/>
            </w:r>
            <w:r w:rsidR="002A4228">
              <w:rPr>
                <w:noProof/>
                <w:webHidden/>
              </w:rPr>
              <w:instrText xml:space="preserve"> PAGEREF _Toc518040046 \h </w:instrText>
            </w:r>
            <w:r w:rsidR="002A4228">
              <w:rPr>
                <w:noProof/>
                <w:webHidden/>
              </w:rPr>
            </w:r>
            <w:r w:rsidR="002A4228">
              <w:rPr>
                <w:noProof/>
                <w:webHidden/>
              </w:rPr>
              <w:fldChar w:fldCharType="separate"/>
            </w:r>
            <w:r w:rsidR="001A1099">
              <w:rPr>
                <w:noProof/>
                <w:webHidden/>
              </w:rPr>
              <w:t>7</w:t>
            </w:r>
            <w:r w:rsidR="002A4228">
              <w:rPr>
                <w:noProof/>
                <w:webHidden/>
              </w:rPr>
              <w:fldChar w:fldCharType="end"/>
            </w:r>
          </w:hyperlink>
        </w:p>
        <w:p w:rsidR="002A4228" w:rsidRDefault="007F67CB">
          <w:pPr>
            <w:pStyle w:val="Sommario2"/>
            <w:rPr>
              <w:rFonts w:asciiTheme="minorHAnsi" w:eastAsiaTheme="minorEastAsia" w:hAnsiTheme="minorHAnsi" w:cstheme="minorBidi"/>
              <w:noProof/>
              <w:szCs w:val="22"/>
              <w:lang w:eastAsia="it-IT" w:bidi="ar-SA"/>
            </w:rPr>
          </w:pPr>
          <w:hyperlink w:anchor="_Toc518040047" w:history="1">
            <w:r w:rsidR="002A4228" w:rsidRPr="0013341F">
              <w:rPr>
                <w:rStyle w:val="Collegamentoipertestuale"/>
                <w:noProof/>
              </w:rPr>
              <w:t>1 Politiche integrate della promozione e tutela della salute</w:t>
            </w:r>
            <w:r w:rsidR="002A4228">
              <w:rPr>
                <w:noProof/>
                <w:webHidden/>
              </w:rPr>
              <w:tab/>
            </w:r>
            <w:r w:rsidR="002A4228">
              <w:rPr>
                <w:noProof/>
                <w:webHidden/>
              </w:rPr>
              <w:fldChar w:fldCharType="begin"/>
            </w:r>
            <w:r w:rsidR="002A4228">
              <w:rPr>
                <w:noProof/>
                <w:webHidden/>
              </w:rPr>
              <w:instrText xml:space="preserve"> PAGEREF _Toc518040047 \h </w:instrText>
            </w:r>
            <w:r w:rsidR="002A4228">
              <w:rPr>
                <w:noProof/>
                <w:webHidden/>
              </w:rPr>
            </w:r>
            <w:r w:rsidR="002A4228">
              <w:rPr>
                <w:noProof/>
                <w:webHidden/>
              </w:rPr>
              <w:fldChar w:fldCharType="separate"/>
            </w:r>
            <w:r w:rsidR="001A1099">
              <w:rPr>
                <w:noProof/>
                <w:webHidden/>
              </w:rPr>
              <w:t>14</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48" w:history="1">
            <w:r w:rsidR="002A4228" w:rsidRPr="0013341F">
              <w:rPr>
                <w:rStyle w:val="Collegamentoipertestuale"/>
                <w:rFonts w:eastAsia="Calibri"/>
                <w:noProof/>
              </w:rPr>
              <w:t>1.1 Promozione della salute per favorire stili di vita salutari</w:t>
            </w:r>
            <w:r w:rsidR="002A4228">
              <w:rPr>
                <w:noProof/>
                <w:webHidden/>
              </w:rPr>
              <w:tab/>
            </w:r>
            <w:r w:rsidR="002A4228">
              <w:rPr>
                <w:noProof/>
                <w:webHidden/>
              </w:rPr>
              <w:fldChar w:fldCharType="begin"/>
            </w:r>
            <w:r w:rsidR="002A4228">
              <w:rPr>
                <w:noProof/>
                <w:webHidden/>
              </w:rPr>
              <w:instrText xml:space="preserve"> PAGEREF _Toc518040048 \h </w:instrText>
            </w:r>
            <w:r w:rsidR="002A4228">
              <w:rPr>
                <w:noProof/>
                <w:webHidden/>
              </w:rPr>
            </w:r>
            <w:r w:rsidR="002A4228">
              <w:rPr>
                <w:noProof/>
                <w:webHidden/>
              </w:rPr>
              <w:fldChar w:fldCharType="separate"/>
            </w:r>
            <w:r w:rsidR="001A1099">
              <w:rPr>
                <w:noProof/>
                <w:webHidden/>
              </w:rPr>
              <w:t>14</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49" w:history="1">
            <w:r w:rsidR="002A4228" w:rsidRPr="0013341F">
              <w:rPr>
                <w:rStyle w:val="Collegamentoipertestuale"/>
                <w:rFonts w:eastAsia="Calibri"/>
                <w:noProof/>
              </w:rPr>
              <w:t>1.2 Programmi di prevenzione e diagnosi precoce oncologica</w:t>
            </w:r>
            <w:r w:rsidR="002A4228">
              <w:rPr>
                <w:noProof/>
                <w:webHidden/>
              </w:rPr>
              <w:tab/>
            </w:r>
            <w:r w:rsidR="002A4228">
              <w:rPr>
                <w:noProof/>
                <w:webHidden/>
              </w:rPr>
              <w:fldChar w:fldCharType="begin"/>
            </w:r>
            <w:r w:rsidR="002A4228">
              <w:rPr>
                <w:noProof/>
                <w:webHidden/>
              </w:rPr>
              <w:instrText xml:space="preserve"> PAGEREF _Toc518040049 \h </w:instrText>
            </w:r>
            <w:r w:rsidR="002A4228">
              <w:rPr>
                <w:noProof/>
                <w:webHidden/>
              </w:rPr>
            </w:r>
            <w:r w:rsidR="002A4228">
              <w:rPr>
                <w:noProof/>
                <w:webHidden/>
              </w:rPr>
              <w:fldChar w:fldCharType="separate"/>
            </w:r>
            <w:r w:rsidR="001A1099">
              <w:rPr>
                <w:noProof/>
                <w:webHidden/>
              </w:rPr>
              <w:t>15</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50" w:history="1">
            <w:r w:rsidR="002A4228" w:rsidRPr="0013341F">
              <w:rPr>
                <w:rStyle w:val="Collegamentoipertestuale"/>
                <w:rFonts w:eastAsia="Calibri"/>
                <w:noProof/>
              </w:rPr>
              <w:t>1.3 Sanità Pubblica e prevenzione delle malattie</w:t>
            </w:r>
            <w:r w:rsidR="002A4228">
              <w:rPr>
                <w:noProof/>
                <w:webHidden/>
              </w:rPr>
              <w:tab/>
            </w:r>
            <w:r w:rsidR="002A4228">
              <w:rPr>
                <w:noProof/>
                <w:webHidden/>
              </w:rPr>
              <w:fldChar w:fldCharType="begin"/>
            </w:r>
            <w:r w:rsidR="002A4228">
              <w:rPr>
                <w:noProof/>
                <w:webHidden/>
              </w:rPr>
              <w:instrText xml:space="preserve"> PAGEREF _Toc518040050 \h </w:instrText>
            </w:r>
            <w:r w:rsidR="002A4228">
              <w:rPr>
                <w:noProof/>
                <w:webHidden/>
              </w:rPr>
            </w:r>
            <w:r w:rsidR="002A4228">
              <w:rPr>
                <w:noProof/>
                <w:webHidden/>
              </w:rPr>
              <w:fldChar w:fldCharType="separate"/>
            </w:r>
            <w:r w:rsidR="001A1099">
              <w:rPr>
                <w:noProof/>
                <w:webHidden/>
              </w:rPr>
              <w:t>17</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51" w:history="1">
            <w:r w:rsidR="002A4228" w:rsidRPr="0013341F">
              <w:rPr>
                <w:rStyle w:val="Collegamentoipertestuale"/>
                <w:rFonts w:eastAsia="Calibri"/>
                <w:noProof/>
              </w:rPr>
              <w:t>1.4 Salute Mentale e Dipendenze Patologiche e Promozione e Tutela della Salute nelle carceri</w:t>
            </w:r>
            <w:r w:rsidR="002A4228">
              <w:rPr>
                <w:noProof/>
                <w:webHidden/>
              </w:rPr>
              <w:tab/>
            </w:r>
            <w:r w:rsidR="002A4228">
              <w:rPr>
                <w:noProof/>
                <w:webHidden/>
              </w:rPr>
              <w:fldChar w:fldCharType="begin"/>
            </w:r>
            <w:r w:rsidR="002A4228">
              <w:rPr>
                <w:noProof/>
                <w:webHidden/>
              </w:rPr>
              <w:instrText xml:space="preserve"> PAGEREF _Toc518040051 \h </w:instrText>
            </w:r>
            <w:r w:rsidR="002A4228">
              <w:rPr>
                <w:noProof/>
                <w:webHidden/>
              </w:rPr>
            </w:r>
            <w:r w:rsidR="002A4228">
              <w:rPr>
                <w:noProof/>
                <w:webHidden/>
              </w:rPr>
              <w:fldChar w:fldCharType="separate"/>
            </w:r>
            <w:r w:rsidR="001A1099">
              <w:rPr>
                <w:noProof/>
                <w:webHidden/>
              </w:rPr>
              <w:t>20</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52" w:history="1">
            <w:r w:rsidR="002A4228" w:rsidRPr="0013341F">
              <w:rPr>
                <w:rStyle w:val="Collegamentoipertestuale"/>
                <w:rFonts w:eastAsia="Calibri"/>
                <w:noProof/>
              </w:rPr>
              <w:t>1.5 Le relazioni con i portatori di interesse</w:t>
            </w:r>
            <w:r w:rsidR="002A4228">
              <w:rPr>
                <w:noProof/>
                <w:webHidden/>
              </w:rPr>
              <w:tab/>
            </w:r>
            <w:r w:rsidR="002A4228">
              <w:rPr>
                <w:noProof/>
                <w:webHidden/>
              </w:rPr>
              <w:fldChar w:fldCharType="begin"/>
            </w:r>
            <w:r w:rsidR="002A4228">
              <w:rPr>
                <w:noProof/>
                <w:webHidden/>
              </w:rPr>
              <w:instrText xml:space="preserve"> PAGEREF _Toc518040052 \h </w:instrText>
            </w:r>
            <w:r w:rsidR="002A4228">
              <w:rPr>
                <w:noProof/>
                <w:webHidden/>
              </w:rPr>
            </w:r>
            <w:r w:rsidR="002A4228">
              <w:rPr>
                <w:noProof/>
                <w:webHidden/>
              </w:rPr>
              <w:fldChar w:fldCharType="separate"/>
            </w:r>
            <w:r w:rsidR="001A1099">
              <w:rPr>
                <w:noProof/>
                <w:webHidden/>
              </w:rPr>
              <w:t>21</w:t>
            </w:r>
            <w:r w:rsidR="002A4228">
              <w:rPr>
                <w:noProof/>
                <w:webHidden/>
              </w:rPr>
              <w:fldChar w:fldCharType="end"/>
            </w:r>
          </w:hyperlink>
        </w:p>
        <w:p w:rsidR="002A4228" w:rsidRDefault="007F67CB">
          <w:pPr>
            <w:pStyle w:val="Sommario2"/>
            <w:rPr>
              <w:rFonts w:asciiTheme="minorHAnsi" w:eastAsiaTheme="minorEastAsia" w:hAnsiTheme="minorHAnsi" w:cstheme="minorBidi"/>
              <w:noProof/>
              <w:szCs w:val="22"/>
              <w:lang w:eastAsia="it-IT" w:bidi="ar-SA"/>
            </w:rPr>
          </w:pPr>
          <w:hyperlink w:anchor="_Toc518040053" w:history="1">
            <w:r w:rsidR="002A4228" w:rsidRPr="0013341F">
              <w:rPr>
                <w:rStyle w:val="Collegamentoipertestuale"/>
                <w:noProof/>
              </w:rPr>
              <w:t>2 Politiche per la semplificazione e l’equità nell’accesso ai servizi</w:t>
            </w:r>
            <w:r w:rsidR="002A4228">
              <w:rPr>
                <w:noProof/>
                <w:webHidden/>
              </w:rPr>
              <w:tab/>
            </w:r>
            <w:r w:rsidR="002A4228">
              <w:rPr>
                <w:noProof/>
                <w:webHidden/>
              </w:rPr>
              <w:fldChar w:fldCharType="begin"/>
            </w:r>
            <w:r w:rsidR="002A4228">
              <w:rPr>
                <w:noProof/>
                <w:webHidden/>
              </w:rPr>
              <w:instrText xml:space="preserve"> PAGEREF _Toc518040053 \h </w:instrText>
            </w:r>
            <w:r w:rsidR="002A4228">
              <w:rPr>
                <w:noProof/>
                <w:webHidden/>
              </w:rPr>
            </w:r>
            <w:r w:rsidR="002A4228">
              <w:rPr>
                <w:noProof/>
                <w:webHidden/>
              </w:rPr>
              <w:fldChar w:fldCharType="separate"/>
            </w:r>
            <w:r w:rsidR="001A1099">
              <w:rPr>
                <w:noProof/>
                <w:webHidden/>
              </w:rPr>
              <w:t>21</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54" w:history="1">
            <w:r w:rsidR="002A4228" w:rsidRPr="0013341F">
              <w:rPr>
                <w:rStyle w:val="Collegamentoipertestuale"/>
                <w:rFonts w:eastAsia="Calibri"/>
                <w:noProof/>
              </w:rPr>
              <w:t>2.1 Le Case della Salute</w:t>
            </w:r>
            <w:r w:rsidR="002A4228">
              <w:rPr>
                <w:noProof/>
                <w:webHidden/>
              </w:rPr>
              <w:tab/>
            </w:r>
            <w:r w:rsidR="002A4228">
              <w:rPr>
                <w:noProof/>
                <w:webHidden/>
              </w:rPr>
              <w:fldChar w:fldCharType="begin"/>
            </w:r>
            <w:r w:rsidR="002A4228">
              <w:rPr>
                <w:noProof/>
                <w:webHidden/>
              </w:rPr>
              <w:instrText xml:space="preserve"> PAGEREF _Toc518040054 \h </w:instrText>
            </w:r>
            <w:r w:rsidR="002A4228">
              <w:rPr>
                <w:noProof/>
                <w:webHidden/>
              </w:rPr>
            </w:r>
            <w:r w:rsidR="002A4228">
              <w:rPr>
                <w:noProof/>
                <w:webHidden/>
              </w:rPr>
              <w:fldChar w:fldCharType="separate"/>
            </w:r>
            <w:r w:rsidR="001A1099">
              <w:rPr>
                <w:noProof/>
                <w:webHidden/>
              </w:rPr>
              <w:t>21</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55" w:history="1">
            <w:r w:rsidR="002A4228" w:rsidRPr="0013341F">
              <w:rPr>
                <w:rStyle w:val="Collegamentoipertestuale"/>
                <w:rFonts w:eastAsia="Calibri"/>
                <w:noProof/>
              </w:rPr>
              <w:t>2.2 Gli Ospedali di Comunità</w:t>
            </w:r>
            <w:r w:rsidR="002A4228">
              <w:rPr>
                <w:noProof/>
                <w:webHidden/>
              </w:rPr>
              <w:tab/>
            </w:r>
            <w:r w:rsidR="002A4228">
              <w:rPr>
                <w:noProof/>
                <w:webHidden/>
              </w:rPr>
              <w:fldChar w:fldCharType="begin"/>
            </w:r>
            <w:r w:rsidR="002A4228">
              <w:rPr>
                <w:noProof/>
                <w:webHidden/>
              </w:rPr>
              <w:instrText xml:space="preserve"> PAGEREF _Toc518040055 \h </w:instrText>
            </w:r>
            <w:r w:rsidR="002A4228">
              <w:rPr>
                <w:noProof/>
                <w:webHidden/>
              </w:rPr>
            </w:r>
            <w:r w:rsidR="002A4228">
              <w:rPr>
                <w:noProof/>
                <w:webHidden/>
              </w:rPr>
              <w:fldChar w:fldCharType="separate"/>
            </w:r>
            <w:r w:rsidR="001A1099">
              <w:rPr>
                <w:noProof/>
                <w:webHidden/>
              </w:rPr>
              <w:t>23</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56" w:history="1">
            <w:r w:rsidR="002A4228" w:rsidRPr="0013341F">
              <w:rPr>
                <w:rStyle w:val="Collegamentoipertestuale"/>
                <w:rFonts w:eastAsia="Calibri"/>
                <w:noProof/>
              </w:rPr>
              <w:t>2.3 L’assistenza Specialistica Ambulatoriale</w:t>
            </w:r>
            <w:r w:rsidR="002A4228">
              <w:rPr>
                <w:noProof/>
                <w:webHidden/>
              </w:rPr>
              <w:tab/>
            </w:r>
            <w:r w:rsidR="002A4228">
              <w:rPr>
                <w:noProof/>
                <w:webHidden/>
              </w:rPr>
              <w:fldChar w:fldCharType="begin"/>
            </w:r>
            <w:r w:rsidR="002A4228">
              <w:rPr>
                <w:noProof/>
                <w:webHidden/>
              </w:rPr>
              <w:instrText xml:space="preserve"> PAGEREF _Toc518040056 \h </w:instrText>
            </w:r>
            <w:r w:rsidR="002A4228">
              <w:rPr>
                <w:noProof/>
                <w:webHidden/>
              </w:rPr>
            </w:r>
            <w:r w:rsidR="002A4228">
              <w:rPr>
                <w:noProof/>
                <w:webHidden/>
              </w:rPr>
              <w:fldChar w:fldCharType="separate"/>
            </w:r>
            <w:r w:rsidR="001A1099">
              <w:rPr>
                <w:noProof/>
                <w:webHidden/>
              </w:rPr>
              <w:t>25</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57" w:history="1">
            <w:r w:rsidR="002A4228" w:rsidRPr="0013341F">
              <w:rPr>
                <w:rStyle w:val="Collegamentoipertestuale"/>
                <w:rFonts w:eastAsia="Calibri"/>
                <w:noProof/>
              </w:rPr>
              <w:t>2.4 Prestazioni di ricovero ospedaliero</w:t>
            </w:r>
            <w:r w:rsidR="002A4228">
              <w:rPr>
                <w:noProof/>
                <w:webHidden/>
              </w:rPr>
              <w:tab/>
            </w:r>
            <w:r w:rsidR="002A4228">
              <w:rPr>
                <w:noProof/>
                <w:webHidden/>
              </w:rPr>
              <w:fldChar w:fldCharType="begin"/>
            </w:r>
            <w:r w:rsidR="002A4228">
              <w:rPr>
                <w:noProof/>
                <w:webHidden/>
              </w:rPr>
              <w:instrText xml:space="preserve"> PAGEREF _Toc518040057 \h </w:instrText>
            </w:r>
            <w:r w:rsidR="002A4228">
              <w:rPr>
                <w:noProof/>
                <w:webHidden/>
              </w:rPr>
            </w:r>
            <w:r w:rsidR="002A4228">
              <w:rPr>
                <w:noProof/>
                <w:webHidden/>
              </w:rPr>
              <w:fldChar w:fldCharType="separate"/>
            </w:r>
            <w:r w:rsidR="001A1099">
              <w:rPr>
                <w:noProof/>
                <w:webHidden/>
              </w:rPr>
              <w:t>28</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58" w:history="1">
            <w:r w:rsidR="002A4228" w:rsidRPr="0013341F">
              <w:rPr>
                <w:rStyle w:val="Collegamentoipertestuale"/>
                <w:rFonts w:eastAsia="Calibri"/>
                <w:noProof/>
              </w:rPr>
              <w:t>2.5 L’accesso ai servizi di salute mentale</w:t>
            </w:r>
            <w:r w:rsidR="002A4228">
              <w:rPr>
                <w:noProof/>
                <w:webHidden/>
              </w:rPr>
              <w:tab/>
            </w:r>
            <w:r w:rsidR="002A4228">
              <w:rPr>
                <w:noProof/>
                <w:webHidden/>
              </w:rPr>
              <w:fldChar w:fldCharType="begin"/>
            </w:r>
            <w:r w:rsidR="002A4228">
              <w:rPr>
                <w:noProof/>
                <w:webHidden/>
              </w:rPr>
              <w:instrText xml:space="preserve"> PAGEREF _Toc518040058 \h </w:instrText>
            </w:r>
            <w:r w:rsidR="002A4228">
              <w:rPr>
                <w:noProof/>
                <w:webHidden/>
              </w:rPr>
            </w:r>
            <w:r w:rsidR="002A4228">
              <w:rPr>
                <w:noProof/>
                <w:webHidden/>
              </w:rPr>
              <w:fldChar w:fldCharType="separate"/>
            </w:r>
            <w:r w:rsidR="001A1099">
              <w:rPr>
                <w:noProof/>
                <w:webHidden/>
              </w:rPr>
              <w:t>28</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59" w:history="1">
            <w:r w:rsidR="002A4228" w:rsidRPr="0013341F">
              <w:rPr>
                <w:rStyle w:val="Collegamentoipertestuale"/>
                <w:rFonts w:eastAsia="Calibri"/>
                <w:noProof/>
              </w:rPr>
              <w:t>2.6 Politiche per l’Equità</w:t>
            </w:r>
            <w:r w:rsidR="002A4228">
              <w:rPr>
                <w:noProof/>
                <w:webHidden/>
              </w:rPr>
              <w:tab/>
            </w:r>
            <w:r w:rsidR="002A4228">
              <w:rPr>
                <w:noProof/>
                <w:webHidden/>
              </w:rPr>
              <w:fldChar w:fldCharType="begin"/>
            </w:r>
            <w:r w:rsidR="002A4228">
              <w:rPr>
                <w:noProof/>
                <w:webHidden/>
              </w:rPr>
              <w:instrText xml:space="preserve"> PAGEREF _Toc518040059 \h </w:instrText>
            </w:r>
            <w:r w:rsidR="002A4228">
              <w:rPr>
                <w:noProof/>
                <w:webHidden/>
              </w:rPr>
            </w:r>
            <w:r w:rsidR="002A4228">
              <w:rPr>
                <w:noProof/>
                <w:webHidden/>
              </w:rPr>
              <w:fldChar w:fldCharType="separate"/>
            </w:r>
            <w:r w:rsidR="001A1099">
              <w:rPr>
                <w:noProof/>
                <w:webHidden/>
              </w:rPr>
              <w:t>30</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60" w:history="1">
            <w:r w:rsidR="002A4228" w:rsidRPr="0013341F">
              <w:rPr>
                <w:rStyle w:val="Collegamentoipertestuale"/>
                <w:rFonts w:eastAsia="Calibri"/>
                <w:noProof/>
              </w:rPr>
              <w:t>Health Equity Audit Percorso Nascita</w:t>
            </w:r>
            <w:r w:rsidR="002A4228">
              <w:rPr>
                <w:noProof/>
                <w:webHidden/>
              </w:rPr>
              <w:tab/>
            </w:r>
            <w:r w:rsidR="002A4228">
              <w:rPr>
                <w:noProof/>
                <w:webHidden/>
              </w:rPr>
              <w:fldChar w:fldCharType="begin"/>
            </w:r>
            <w:r w:rsidR="002A4228">
              <w:rPr>
                <w:noProof/>
                <w:webHidden/>
              </w:rPr>
              <w:instrText xml:space="preserve"> PAGEREF _Toc518040060 \h </w:instrText>
            </w:r>
            <w:r w:rsidR="002A4228">
              <w:rPr>
                <w:noProof/>
                <w:webHidden/>
              </w:rPr>
            </w:r>
            <w:r w:rsidR="002A4228">
              <w:rPr>
                <w:noProof/>
                <w:webHidden/>
              </w:rPr>
              <w:fldChar w:fldCharType="separate"/>
            </w:r>
            <w:r w:rsidR="001A1099">
              <w:rPr>
                <w:noProof/>
                <w:webHidden/>
              </w:rPr>
              <w:t>30</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61" w:history="1">
            <w:r w:rsidR="002A4228" w:rsidRPr="0013341F">
              <w:rPr>
                <w:rStyle w:val="Collegamentoipertestuale"/>
                <w:rFonts w:eastAsia="Calibri"/>
                <w:noProof/>
              </w:rPr>
              <w:t>Health Equity Audit Percorso Diabete I</w:t>
            </w:r>
            <w:r w:rsidR="002A4228">
              <w:rPr>
                <w:noProof/>
                <w:webHidden/>
              </w:rPr>
              <w:tab/>
            </w:r>
            <w:r w:rsidR="002A4228">
              <w:rPr>
                <w:noProof/>
                <w:webHidden/>
              </w:rPr>
              <w:fldChar w:fldCharType="begin"/>
            </w:r>
            <w:r w:rsidR="002A4228">
              <w:rPr>
                <w:noProof/>
                <w:webHidden/>
              </w:rPr>
              <w:instrText xml:space="preserve"> PAGEREF _Toc518040061 \h </w:instrText>
            </w:r>
            <w:r w:rsidR="002A4228">
              <w:rPr>
                <w:noProof/>
                <w:webHidden/>
              </w:rPr>
            </w:r>
            <w:r w:rsidR="002A4228">
              <w:rPr>
                <w:noProof/>
                <w:webHidden/>
              </w:rPr>
              <w:fldChar w:fldCharType="separate"/>
            </w:r>
            <w:r w:rsidR="001A1099">
              <w:rPr>
                <w:noProof/>
                <w:webHidden/>
              </w:rPr>
              <w:t>31</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62" w:history="1">
            <w:r w:rsidR="002A4228" w:rsidRPr="0013341F">
              <w:rPr>
                <w:rStyle w:val="Collegamentoipertestuale"/>
                <w:rFonts w:eastAsia="Calibri"/>
                <w:noProof/>
              </w:rPr>
              <w:t>2.7 Le segnalazioni dei cittadini</w:t>
            </w:r>
            <w:r w:rsidR="002A4228">
              <w:rPr>
                <w:noProof/>
                <w:webHidden/>
              </w:rPr>
              <w:tab/>
            </w:r>
            <w:r w:rsidR="002A4228">
              <w:rPr>
                <w:noProof/>
                <w:webHidden/>
              </w:rPr>
              <w:fldChar w:fldCharType="begin"/>
            </w:r>
            <w:r w:rsidR="002A4228">
              <w:rPr>
                <w:noProof/>
                <w:webHidden/>
              </w:rPr>
              <w:instrText xml:space="preserve"> PAGEREF _Toc518040062 \h </w:instrText>
            </w:r>
            <w:r w:rsidR="002A4228">
              <w:rPr>
                <w:noProof/>
                <w:webHidden/>
              </w:rPr>
            </w:r>
            <w:r w:rsidR="002A4228">
              <w:rPr>
                <w:noProof/>
                <w:webHidden/>
              </w:rPr>
              <w:fldChar w:fldCharType="separate"/>
            </w:r>
            <w:r w:rsidR="001A1099">
              <w:rPr>
                <w:noProof/>
                <w:webHidden/>
              </w:rPr>
              <w:t>32</w:t>
            </w:r>
            <w:r w:rsidR="002A4228">
              <w:rPr>
                <w:noProof/>
                <w:webHidden/>
              </w:rPr>
              <w:fldChar w:fldCharType="end"/>
            </w:r>
          </w:hyperlink>
        </w:p>
        <w:p w:rsidR="002A4228" w:rsidRDefault="007F67CB">
          <w:pPr>
            <w:pStyle w:val="Sommario2"/>
            <w:rPr>
              <w:rFonts w:asciiTheme="minorHAnsi" w:eastAsiaTheme="minorEastAsia" w:hAnsiTheme="minorHAnsi" w:cstheme="minorBidi"/>
              <w:noProof/>
              <w:szCs w:val="22"/>
              <w:lang w:eastAsia="it-IT" w:bidi="ar-SA"/>
            </w:rPr>
          </w:pPr>
          <w:hyperlink w:anchor="_Toc518040063" w:history="1">
            <w:r w:rsidR="002A4228" w:rsidRPr="0013341F">
              <w:rPr>
                <w:rStyle w:val="Collegamentoipertestuale"/>
                <w:noProof/>
              </w:rPr>
              <w:t>3 Percorsi Clinico Assistenziali</w:t>
            </w:r>
            <w:r w:rsidR="002A4228">
              <w:rPr>
                <w:noProof/>
                <w:webHidden/>
              </w:rPr>
              <w:tab/>
            </w:r>
            <w:r w:rsidR="002A4228">
              <w:rPr>
                <w:noProof/>
                <w:webHidden/>
              </w:rPr>
              <w:fldChar w:fldCharType="begin"/>
            </w:r>
            <w:r w:rsidR="002A4228">
              <w:rPr>
                <w:noProof/>
                <w:webHidden/>
              </w:rPr>
              <w:instrText xml:space="preserve"> PAGEREF _Toc518040063 \h </w:instrText>
            </w:r>
            <w:r w:rsidR="002A4228">
              <w:rPr>
                <w:noProof/>
                <w:webHidden/>
              </w:rPr>
            </w:r>
            <w:r w:rsidR="002A4228">
              <w:rPr>
                <w:noProof/>
                <w:webHidden/>
              </w:rPr>
              <w:fldChar w:fldCharType="separate"/>
            </w:r>
            <w:r w:rsidR="001A1099">
              <w:rPr>
                <w:noProof/>
                <w:webHidden/>
              </w:rPr>
              <w:t>35</w:t>
            </w:r>
            <w:r w:rsidR="002A4228">
              <w:rPr>
                <w:noProof/>
                <w:webHidden/>
              </w:rPr>
              <w:fldChar w:fldCharType="end"/>
            </w:r>
          </w:hyperlink>
        </w:p>
        <w:p w:rsidR="002A4228" w:rsidRDefault="007F67CB">
          <w:pPr>
            <w:pStyle w:val="Sommario2"/>
            <w:rPr>
              <w:rFonts w:asciiTheme="minorHAnsi" w:eastAsiaTheme="minorEastAsia" w:hAnsiTheme="minorHAnsi" w:cstheme="minorBidi"/>
              <w:noProof/>
              <w:szCs w:val="22"/>
              <w:lang w:eastAsia="it-IT" w:bidi="ar-SA"/>
            </w:rPr>
          </w:pPr>
          <w:hyperlink w:anchor="_Toc518040064" w:history="1">
            <w:r w:rsidR="002A4228" w:rsidRPr="0013341F">
              <w:rPr>
                <w:rStyle w:val="Collegamentoipertestuale"/>
                <w:noProof/>
              </w:rPr>
              <w:t>4 Politiche per la valorizzazione professionale</w:t>
            </w:r>
            <w:r w:rsidR="002A4228">
              <w:rPr>
                <w:noProof/>
                <w:webHidden/>
              </w:rPr>
              <w:tab/>
            </w:r>
            <w:r w:rsidR="002A4228">
              <w:rPr>
                <w:noProof/>
                <w:webHidden/>
              </w:rPr>
              <w:fldChar w:fldCharType="begin"/>
            </w:r>
            <w:r w:rsidR="002A4228">
              <w:rPr>
                <w:noProof/>
                <w:webHidden/>
              </w:rPr>
              <w:instrText xml:space="preserve"> PAGEREF _Toc518040064 \h </w:instrText>
            </w:r>
            <w:r w:rsidR="002A4228">
              <w:rPr>
                <w:noProof/>
                <w:webHidden/>
              </w:rPr>
            </w:r>
            <w:r w:rsidR="002A4228">
              <w:rPr>
                <w:noProof/>
                <w:webHidden/>
              </w:rPr>
              <w:fldChar w:fldCharType="separate"/>
            </w:r>
            <w:r w:rsidR="001A1099">
              <w:rPr>
                <w:noProof/>
                <w:webHidden/>
              </w:rPr>
              <w:t>36</w:t>
            </w:r>
            <w:r w:rsidR="002A4228">
              <w:rPr>
                <w:noProof/>
                <w:webHidden/>
              </w:rPr>
              <w:fldChar w:fldCharType="end"/>
            </w:r>
          </w:hyperlink>
        </w:p>
        <w:p w:rsidR="002A4228" w:rsidRDefault="007F67CB">
          <w:pPr>
            <w:pStyle w:val="Sommario2"/>
            <w:rPr>
              <w:rFonts w:asciiTheme="minorHAnsi" w:eastAsiaTheme="minorEastAsia" w:hAnsiTheme="minorHAnsi" w:cstheme="minorBidi"/>
              <w:noProof/>
              <w:szCs w:val="22"/>
              <w:lang w:eastAsia="it-IT" w:bidi="ar-SA"/>
            </w:rPr>
          </w:pPr>
          <w:hyperlink w:anchor="_Toc518040065" w:history="1">
            <w:r w:rsidR="002A4228" w:rsidRPr="0013341F">
              <w:rPr>
                <w:rStyle w:val="Collegamentoipertestuale"/>
                <w:noProof/>
              </w:rPr>
              <w:t>5 Performance management per la creazione di valore</w:t>
            </w:r>
            <w:r w:rsidR="002A4228">
              <w:rPr>
                <w:noProof/>
                <w:webHidden/>
              </w:rPr>
              <w:tab/>
            </w:r>
            <w:r w:rsidR="002A4228">
              <w:rPr>
                <w:noProof/>
                <w:webHidden/>
              </w:rPr>
              <w:fldChar w:fldCharType="begin"/>
            </w:r>
            <w:r w:rsidR="002A4228">
              <w:rPr>
                <w:noProof/>
                <w:webHidden/>
              </w:rPr>
              <w:instrText xml:space="preserve"> PAGEREF _Toc518040065 \h </w:instrText>
            </w:r>
            <w:r w:rsidR="002A4228">
              <w:rPr>
                <w:noProof/>
                <w:webHidden/>
              </w:rPr>
            </w:r>
            <w:r w:rsidR="002A4228">
              <w:rPr>
                <w:noProof/>
                <w:webHidden/>
              </w:rPr>
              <w:fldChar w:fldCharType="separate"/>
            </w:r>
            <w:r w:rsidR="001A1099">
              <w:rPr>
                <w:noProof/>
                <w:webHidden/>
              </w:rPr>
              <w:t>38</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66" w:history="1">
            <w:r w:rsidR="002A4228" w:rsidRPr="0013341F">
              <w:rPr>
                <w:rStyle w:val="Collegamentoipertestuale"/>
                <w:rFonts w:eastAsia="Calibri"/>
                <w:noProof/>
              </w:rPr>
              <w:t>5.1 Progetto di gestione unica AOU Policlinico di Modena – Nuovo Ospedale Civile Sant’Agostino Estense (NOCSAE)</w:t>
            </w:r>
            <w:r w:rsidR="002A4228">
              <w:rPr>
                <w:noProof/>
                <w:webHidden/>
              </w:rPr>
              <w:tab/>
            </w:r>
            <w:r w:rsidR="002A4228">
              <w:rPr>
                <w:noProof/>
                <w:webHidden/>
              </w:rPr>
              <w:fldChar w:fldCharType="begin"/>
            </w:r>
            <w:r w:rsidR="002A4228">
              <w:rPr>
                <w:noProof/>
                <w:webHidden/>
              </w:rPr>
              <w:instrText xml:space="preserve"> PAGEREF _Toc518040066 \h </w:instrText>
            </w:r>
            <w:r w:rsidR="002A4228">
              <w:rPr>
                <w:noProof/>
                <w:webHidden/>
              </w:rPr>
            </w:r>
            <w:r w:rsidR="002A4228">
              <w:rPr>
                <w:noProof/>
                <w:webHidden/>
              </w:rPr>
              <w:fldChar w:fldCharType="separate"/>
            </w:r>
            <w:r w:rsidR="001A1099">
              <w:rPr>
                <w:noProof/>
                <w:webHidden/>
              </w:rPr>
              <w:t>38</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67" w:history="1">
            <w:r w:rsidR="002A4228" w:rsidRPr="0013341F">
              <w:rPr>
                <w:rStyle w:val="Collegamentoipertestuale"/>
                <w:rFonts w:eastAsia="Calibri"/>
                <w:noProof/>
              </w:rPr>
              <w:t>5.2 Il Piano di riordino della rete dei Servizi: Delibera CTSS 6 giugno 2017</w:t>
            </w:r>
            <w:r w:rsidR="002A4228">
              <w:rPr>
                <w:noProof/>
                <w:webHidden/>
              </w:rPr>
              <w:tab/>
            </w:r>
            <w:r w:rsidR="002A4228">
              <w:rPr>
                <w:noProof/>
                <w:webHidden/>
              </w:rPr>
              <w:fldChar w:fldCharType="begin"/>
            </w:r>
            <w:r w:rsidR="002A4228">
              <w:rPr>
                <w:noProof/>
                <w:webHidden/>
              </w:rPr>
              <w:instrText xml:space="preserve"> PAGEREF _Toc518040067 \h </w:instrText>
            </w:r>
            <w:r w:rsidR="002A4228">
              <w:rPr>
                <w:noProof/>
                <w:webHidden/>
              </w:rPr>
            </w:r>
            <w:r w:rsidR="002A4228">
              <w:rPr>
                <w:noProof/>
                <w:webHidden/>
              </w:rPr>
              <w:fldChar w:fldCharType="separate"/>
            </w:r>
            <w:r w:rsidR="001A1099">
              <w:rPr>
                <w:noProof/>
                <w:webHidden/>
              </w:rPr>
              <w:t>39</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68" w:history="1">
            <w:r w:rsidR="002A4228" w:rsidRPr="0013341F">
              <w:rPr>
                <w:rStyle w:val="Collegamentoipertestuale"/>
                <w:rFonts w:eastAsia="Calibri"/>
                <w:noProof/>
              </w:rPr>
              <w:t>5.3 Governance ed appropriatezza d’uso dei farmaci</w:t>
            </w:r>
            <w:r w:rsidR="002A4228">
              <w:rPr>
                <w:noProof/>
                <w:webHidden/>
              </w:rPr>
              <w:tab/>
            </w:r>
            <w:r w:rsidR="002A4228">
              <w:rPr>
                <w:noProof/>
                <w:webHidden/>
              </w:rPr>
              <w:fldChar w:fldCharType="begin"/>
            </w:r>
            <w:r w:rsidR="002A4228">
              <w:rPr>
                <w:noProof/>
                <w:webHidden/>
              </w:rPr>
              <w:instrText xml:space="preserve"> PAGEREF _Toc518040068 \h </w:instrText>
            </w:r>
            <w:r w:rsidR="002A4228">
              <w:rPr>
                <w:noProof/>
                <w:webHidden/>
              </w:rPr>
            </w:r>
            <w:r w:rsidR="002A4228">
              <w:rPr>
                <w:noProof/>
                <w:webHidden/>
              </w:rPr>
              <w:fldChar w:fldCharType="separate"/>
            </w:r>
            <w:r w:rsidR="001A1099">
              <w:rPr>
                <w:noProof/>
                <w:webHidden/>
              </w:rPr>
              <w:t>41</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69" w:history="1">
            <w:r w:rsidR="002A4228" w:rsidRPr="0013341F">
              <w:rPr>
                <w:rStyle w:val="Collegamentoipertestuale"/>
                <w:rFonts w:eastAsia="Calibri"/>
                <w:noProof/>
              </w:rPr>
              <w:t>5.4 Governo dei dispositivi medici</w:t>
            </w:r>
            <w:r w:rsidR="002A4228">
              <w:rPr>
                <w:noProof/>
                <w:webHidden/>
              </w:rPr>
              <w:tab/>
            </w:r>
            <w:r w:rsidR="002A4228">
              <w:rPr>
                <w:noProof/>
                <w:webHidden/>
              </w:rPr>
              <w:fldChar w:fldCharType="begin"/>
            </w:r>
            <w:r w:rsidR="002A4228">
              <w:rPr>
                <w:noProof/>
                <w:webHidden/>
              </w:rPr>
              <w:instrText xml:space="preserve"> PAGEREF _Toc518040069 \h </w:instrText>
            </w:r>
            <w:r w:rsidR="002A4228">
              <w:rPr>
                <w:noProof/>
                <w:webHidden/>
              </w:rPr>
            </w:r>
            <w:r w:rsidR="002A4228">
              <w:rPr>
                <w:noProof/>
                <w:webHidden/>
              </w:rPr>
              <w:fldChar w:fldCharType="separate"/>
            </w:r>
            <w:r w:rsidR="001A1099">
              <w:rPr>
                <w:noProof/>
                <w:webHidden/>
              </w:rPr>
              <w:t>42</w:t>
            </w:r>
            <w:r w:rsidR="002A4228">
              <w:rPr>
                <w:noProof/>
                <w:webHidden/>
              </w:rPr>
              <w:fldChar w:fldCharType="end"/>
            </w:r>
          </w:hyperlink>
        </w:p>
        <w:p w:rsidR="002A4228" w:rsidRDefault="007F67CB">
          <w:pPr>
            <w:pStyle w:val="Sommario2"/>
            <w:rPr>
              <w:rFonts w:asciiTheme="minorHAnsi" w:eastAsiaTheme="minorEastAsia" w:hAnsiTheme="minorHAnsi" w:cstheme="minorBidi"/>
              <w:noProof/>
              <w:szCs w:val="22"/>
              <w:lang w:eastAsia="it-IT" w:bidi="ar-SA"/>
            </w:rPr>
          </w:pPr>
          <w:hyperlink w:anchor="_Toc518040070" w:history="1">
            <w:r w:rsidR="002A4228" w:rsidRPr="0013341F">
              <w:rPr>
                <w:rStyle w:val="Collegamentoipertestuale"/>
                <w:noProof/>
              </w:rPr>
              <w:t>6 Politiche di controllo, misurazione, valutazione e rendicontazione interna ed esterna</w:t>
            </w:r>
            <w:r w:rsidR="002A4228">
              <w:rPr>
                <w:noProof/>
                <w:webHidden/>
              </w:rPr>
              <w:tab/>
            </w:r>
            <w:r w:rsidR="002A4228">
              <w:rPr>
                <w:noProof/>
                <w:webHidden/>
              </w:rPr>
              <w:fldChar w:fldCharType="begin"/>
            </w:r>
            <w:r w:rsidR="002A4228">
              <w:rPr>
                <w:noProof/>
                <w:webHidden/>
              </w:rPr>
              <w:instrText xml:space="preserve"> PAGEREF _Toc518040070 \h </w:instrText>
            </w:r>
            <w:r w:rsidR="002A4228">
              <w:rPr>
                <w:noProof/>
                <w:webHidden/>
              </w:rPr>
            </w:r>
            <w:r w:rsidR="002A4228">
              <w:rPr>
                <w:noProof/>
                <w:webHidden/>
              </w:rPr>
              <w:fldChar w:fldCharType="separate"/>
            </w:r>
            <w:r w:rsidR="001A1099">
              <w:rPr>
                <w:noProof/>
                <w:webHidden/>
              </w:rPr>
              <w:t>43</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71" w:history="1">
            <w:r w:rsidR="002A4228" w:rsidRPr="0013341F">
              <w:rPr>
                <w:rStyle w:val="Collegamentoipertestuale"/>
                <w:rFonts w:eastAsia="Calibri"/>
                <w:noProof/>
              </w:rPr>
              <w:t>6.1 Autovalutazione raggiungimento obiettivi di programmazione DGR 830/2017</w:t>
            </w:r>
            <w:r w:rsidR="002A4228">
              <w:rPr>
                <w:noProof/>
                <w:webHidden/>
              </w:rPr>
              <w:tab/>
            </w:r>
            <w:r w:rsidR="002A4228">
              <w:rPr>
                <w:noProof/>
                <w:webHidden/>
              </w:rPr>
              <w:fldChar w:fldCharType="begin"/>
            </w:r>
            <w:r w:rsidR="002A4228">
              <w:rPr>
                <w:noProof/>
                <w:webHidden/>
              </w:rPr>
              <w:instrText xml:space="preserve"> PAGEREF _Toc518040071 \h </w:instrText>
            </w:r>
            <w:r w:rsidR="002A4228">
              <w:rPr>
                <w:noProof/>
                <w:webHidden/>
              </w:rPr>
            </w:r>
            <w:r w:rsidR="002A4228">
              <w:rPr>
                <w:noProof/>
                <w:webHidden/>
              </w:rPr>
              <w:fldChar w:fldCharType="separate"/>
            </w:r>
            <w:r w:rsidR="001A1099">
              <w:rPr>
                <w:noProof/>
                <w:webHidden/>
              </w:rPr>
              <w:t>43</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72" w:history="1">
            <w:r w:rsidR="002A4228" w:rsidRPr="0013341F">
              <w:rPr>
                <w:rStyle w:val="Collegamentoipertestuale"/>
                <w:rFonts w:eastAsia="Calibri"/>
                <w:noProof/>
              </w:rPr>
              <w:t>6.2 Sistema di valutazione INSIDER – Piano della Performance (PdP) 2016-18</w:t>
            </w:r>
            <w:r w:rsidR="002A4228">
              <w:rPr>
                <w:noProof/>
                <w:webHidden/>
              </w:rPr>
              <w:tab/>
            </w:r>
            <w:r w:rsidR="002A4228">
              <w:rPr>
                <w:noProof/>
                <w:webHidden/>
              </w:rPr>
              <w:fldChar w:fldCharType="begin"/>
            </w:r>
            <w:r w:rsidR="002A4228">
              <w:rPr>
                <w:noProof/>
                <w:webHidden/>
              </w:rPr>
              <w:instrText xml:space="preserve"> PAGEREF _Toc518040072 \h </w:instrText>
            </w:r>
            <w:r w:rsidR="002A4228">
              <w:rPr>
                <w:noProof/>
                <w:webHidden/>
              </w:rPr>
            </w:r>
            <w:r w:rsidR="002A4228">
              <w:rPr>
                <w:noProof/>
                <w:webHidden/>
              </w:rPr>
              <w:fldChar w:fldCharType="separate"/>
            </w:r>
            <w:r w:rsidR="001A1099">
              <w:rPr>
                <w:noProof/>
                <w:webHidden/>
              </w:rPr>
              <w:t>43</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73" w:history="1">
            <w:r w:rsidR="002A4228" w:rsidRPr="0013341F">
              <w:rPr>
                <w:rStyle w:val="Collegamentoipertestuale"/>
                <w:rFonts w:eastAsia="Calibri"/>
                <w:noProof/>
              </w:rPr>
              <w:t>6.3 Sistema di valutazione INSIDER – Griglia LEA</w:t>
            </w:r>
            <w:r w:rsidR="002A4228">
              <w:rPr>
                <w:noProof/>
                <w:webHidden/>
              </w:rPr>
              <w:tab/>
            </w:r>
            <w:r w:rsidR="002A4228">
              <w:rPr>
                <w:noProof/>
                <w:webHidden/>
              </w:rPr>
              <w:fldChar w:fldCharType="begin"/>
            </w:r>
            <w:r w:rsidR="002A4228">
              <w:rPr>
                <w:noProof/>
                <w:webHidden/>
              </w:rPr>
              <w:instrText xml:space="preserve"> PAGEREF _Toc518040073 \h </w:instrText>
            </w:r>
            <w:r w:rsidR="002A4228">
              <w:rPr>
                <w:noProof/>
                <w:webHidden/>
              </w:rPr>
            </w:r>
            <w:r w:rsidR="002A4228">
              <w:rPr>
                <w:noProof/>
                <w:webHidden/>
              </w:rPr>
              <w:fldChar w:fldCharType="separate"/>
            </w:r>
            <w:r w:rsidR="001A1099">
              <w:rPr>
                <w:noProof/>
                <w:webHidden/>
              </w:rPr>
              <w:t>51</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74" w:history="1">
            <w:r w:rsidR="002A4228" w:rsidRPr="0013341F">
              <w:rPr>
                <w:rStyle w:val="Collegamentoipertestuale"/>
                <w:rFonts w:eastAsia="Calibri"/>
                <w:noProof/>
              </w:rPr>
              <w:t>6.4 Politiche per la trasparenza e l’integrità</w:t>
            </w:r>
            <w:r w:rsidR="002A4228">
              <w:rPr>
                <w:noProof/>
                <w:webHidden/>
              </w:rPr>
              <w:tab/>
            </w:r>
            <w:r w:rsidR="002A4228">
              <w:rPr>
                <w:noProof/>
                <w:webHidden/>
              </w:rPr>
              <w:fldChar w:fldCharType="begin"/>
            </w:r>
            <w:r w:rsidR="002A4228">
              <w:rPr>
                <w:noProof/>
                <w:webHidden/>
              </w:rPr>
              <w:instrText xml:space="preserve"> PAGEREF _Toc518040074 \h </w:instrText>
            </w:r>
            <w:r w:rsidR="002A4228">
              <w:rPr>
                <w:noProof/>
                <w:webHidden/>
              </w:rPr>
            </w:r>
            <w:r w:rsidR="002A4228">
              <w:rPr>
                <w:noProof/>
                <w:webHidden/>
              </w:rPr>
              <w:fldChar w:fldCharType="separate"/>
            </w:r>
            <w:r w:rsidR="001A1099">
              <w:rPr>
                <w:noProof/>
                <w:webHidden/>
              </w:rPr>
              <w:t>53</w:t>
            </w:r>
            <w:r w:rsidR="002A4228">
              <w:rPr>
                <w:noProof/>
                <w:webHidden/>
              </w:rPr>
              <w:fldChar w:fldCharType="end"/>
            </w:r>
          </w:hyperlink>
        </w:p>
        <w:p w:rsidR="002A4228" w:rsidRDefault="007F67CB">
          <w:pPr>
            <w:pStyle w:val="Sommario2"/>
            <w:rPr>
              <w:rFonts w:asciiTheme="minorHAnsi" w:eastAsiaTheme="minorEastAsia" w:hAnsiTheme="minorHAnsi" w:cstheme="minorBidi"/>
              <w:noProof/>
              <w:szCs w:val="22"/>
              <w:lang w:eastAsia="it-IT" w:bidi="ar-SA"/>
            </w:rPr>
          </w:pPr>
          <w:hyperlink w:anchor="_Toc518040075" w:history="1">
            <w:r w:rsidR="002A4228" w:rsidRPr="0013341F">
              <w:rPr>
                <w:rStyle w:val="Collegamentoipertestuale"/>
                <w:noProof/>
              </w:rPr>
              <w:t>7. La sostenibilità economico finanziaria</w:t>
            </w:r>
            <w:r w:rsidR="002A4228">
              <w:rPr>
                <w:noProof/>
                <w:webHidden/>
              </w:rPr>
              <w:tab/>
            </w:r>
            <w:r w:rsidR="002A4228">
              <w:rPr>
                <w:noProof/>
                <w:webHidden/>
              </w:rPr>
              <w:fldChar w:fldCharType="begin"/>
            </w:r>
            <w:r w:rsidR="002A4228">
              <w:rPr>
                <w:noProof/>
                <w:webHidden/>
              </w:rPr>
              <w:instrText xml:space="preserve"> PAGEREF _Toc518040075 \h </w:instrText>
            </w:r>
            <w:r w:rsidR="002A4228">
              <w:rPr>
                <w:noProof/>
                <w:webHidden/>
              </w:rPr>
            </w:r>
            <w:r w:rsidR="002A4228">
              <w:rPr>
                <w:noProof/>
                <w:webHidden/>
              </w:rPr>
              <w:fldChar w:fldCharType="separate"/>
            </w:r>
            <w:r w:rsidR="001A1099">
              <w:rPr>
                <w:noProof/>
                <w:webHidden/>
              </w:rPr>
              <w:t>54</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76" w:history="1">
            <w:r w:rsidR="002A4228" w:rsidRPr="0013341F">
              <w:rPr>
                <w:rStyle w:val="Collegamentoipertestuale"/>
                <w:rFonts w:eastAsia="Calibri"/>
                <w:noProof/>
              </w:rPr>
              <w:t>7.1 Risultato netto di esercizio 2015-2017 (in euro)</w:t>
            </w:r>
            <w:r w:rsidR="002A4228">
              <w:rPr>
                <w:noProof/>
                <w:webHidden/>
              </w:rPr>
              <w:tab/>
            </w:r>
            <w:r w:rsidR="002A4228">
              <w:rPr>
                <w:noProof/>
                <w:webHidden/>
              </w:rPr>
              <w:fldChar w:fldCharType="begin"/>
            </w:r>
            <w:r w:rsidR="002A4228">
              <w:rPr>
                <w:noProof/>
                <w:webHidden/>
              </w:rPr>
              <w:instrText xml:space="preserve"> PAGEREF _Toc518040076 \h </w:instrText>
            </w:r>
            <w:r w:rsidR="002A4228">
              <w:rPr>
                <w:noProof/>
                <w:webHidden/>
              </w:rPr>
            </w:r>
            <w:r w:rsidR="002A4228">
              <w:rPr>
                <w:noProof/>
                <w:webHidden/>
              </w:rPr>
              <w:fldChar w:fldCharType="separate"/>
            </w:r>
            <w:r w:rsidR="001A1099">
              <w:rPr>
                <w:noProof/>
                <w:webHidden/>
              </w:rPr>
              <w:t>54</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77" w:history="1">
            <w:r w:rsidR="002A4228" w:rsidRPr="0013341F">
              <w:rPr>
                <w:rStyle w:val="Collegamentoipertestuale"/>
                <w:rFonts w:eastAsia="Calibri"/>
                <w:noProof/>
              </w:rPr>
              <w:t>7.2 Costi pro-capite</w:t>
            </w:r>
            <w:r w:rsidR="002A4228">
              <w:rPr>
                <w:noProof/>
                <w:webHidden/>
              </w:rPr>
              <w:tab/>
            </w:r>
            <w:r w:rsidR="002A4228">
              <w:rPr>
                <w:noProof/>
                <w:webHidden/>
              </w:rPr>
              <w:fldChar w:fldCharType="begin"/>
            </w:r>
            <w:r w:rsidR="002A4228">
              <w:rPr>
                <w:noProof/>
                <w:webHidden/>
              </w:rPr>
              <w:instrText xml:space="preserve"> PAGEREF _Toc518040077 \h </w:instrText>
            </w:r>
            <w:r w:rsidR="002A4228">
              <w:rPr>
                <w:noProof/>
                <w:webHidden/>
              </w:rPr>
            </w:r>
            <w:r w:rsidR="002A4228">
              <w:rPr>
                <w:noProof/>
                <w:webHidden/>
              </w:rPr>
              <w:fldChar w:fldCharType="separate"/>
            </w:r>
            <w:r w:rsidR="001A1099">
              <w:rPr>
                <w:noProof/>
                <w:webHidden/>
              </w:rPr>
              <w:t>55</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78" w:history="1">
            <w:r w:rsidR="002A4228" w:rsidRPr="0013341F">
              <w:rPr>
                <w:rStyle w:val="Collegamentoipertestuale"/>
                <w:rFonts w:eastAsia="Calibri"/>
                <w:noProof/>
              </w:rPr>
              <w:t>7.3 Spesa del Personale</w:t>
            </w:r>
            <w:r w:rsidR="002A4228">
              <w:rPr>
                <w:noProof/>
                <w:webHidden/>
              </w:rPr>
              <w:tab/>
            </w:r>
            <w:r w:rsidR="002A4228">
              <w:rPr>
                <w:noProof/>
                <w:webHidden/>
              </w:rPr>
              <w:fldChar w:fldCharType="begin"/>
            </w:r>
            <w:r w:rsidR="002A4228">
              <w:rPr>
                <w:noProof/>
                <w:webHidden/>
              </w:rPr>
              <w:instrText xml:space="preserve"> PAGEREF _Toc518040078 \h </w:instrText>
            </w:r>
            <w:r w:rsidR="002A4228">
              <w:rPr>
                <w:noProof/>
                <w:webHidden/>
              </w:rPr>
            </w:r>
            <w:r w:rsidR="002A4228">
              <w:rPr>
                <w:noProof/>
                <w:webHidden/>
              </w:rPr>
              <w:fldChar w:fldCharType="separate"/>
            </w:r>
            <w:r w:rsidR="001A1099">
              <w:rPr>
                <w:noProof/>
                <w:webHidden/>
              </w:rPr>
              <w:t>57</w:t>
            </w:r>
            <w:r w:rsidR="002A4228">
              <w:rPr>
                <w:noProof/>
                <w:webHidden/>
              </w:rPr>
              <w:fldChar w:fldCharType="end"/>
            </w:r>
          </w:hyperlink>
        </w:p>
        <w:p w:rsidR="002A4228" w:rsidRDefault="007F67CB">
          <w:pPr>
            <w:pStyle w:val="Sommario1"/>
            <w:rPr>
              <w:rFonts w:asciiTheme="minorHAnsi" w:eastAsiaTheme="minorEastAsia" w:hAnsiTheme="minorHAnsi" w:cstheme="minorBidi"/>
              <w:noProof/>
              <w:szCs w:val="22"/>
              <w:lang w:eastAsia="it-IT" w:bidi="ar-SA"/>
            </w:rPr>
          </w:pPr>
          <w:hyperlink w:anchor="_Toc518040079" w:history="1">
            <w:r w:rsidR="002A4228" w:rsidRPr="0013341F">
              <w:rPr>
                <w:rStyle w:val="Collegamentoipertestuale"/>
                <w:rFonts w:eastAsia="Calibri"/>
                <w:noProof/>
              </w:rPr>
              <w:t>7.4 Spesa Farmaceutica</w:t>
            </w:r>
            <w:r w:rsidR="002A4228">
              <w:rPr>
                <w:noProof/>
                <w:webHidden/>
              </w:rPr>
              <w:tab/>
            </w:r>
            <w:r w:rsidR="002A4228">
              <w:rPr>
                <w:noProof/>
                <w:webHidden/>
              </w:rPr>
              <w:fldChar w:fldCharType="begin"/>
            </w:r>
            <w:r w:rsidR="002A4228">
              <w:rPr>
                <w:noProof/>
                <w:webHidden/>
              </w:rPr>
              <w:instrText xml:space="preserve"> PAGEREF _Toc518040079 \h </w:instrText>
            </w:r>
            <w:r w:rsidR="002A4228">
              <w:rPr>
                <w:noProof/>
                <w:webHidden/>
              </w:rPr>
            </w:r>
            <w:r w:rsidR="002A4228">
              <w:rPr>
                <w:noProof/>
                <w:webHidden/>
              </w:rPr>
              <w:fldChar w:fldCharType="separate"/>
            </w:r>
            <w:r w:rsidR="001A1099">
              <w:rPr>
                <w:noProof/>
                <w:webHidden/>
              </w:rPr>
              <w:t>58</w:t>
            </w:r>
            <w:r w:rsidR="002A4228">
              <w:rPr>
                <w:noProof/>
                <w:webHidden/>
              </w:rPr>
              <w:fldChar w:fldCharType="end"/>
            </w:r>
          </w:hyperlink>
        </w:p>
        <w:p w:rsidR="002A4228" w:rsidRDefault="007F67CB">
          <w:pPr>
            <w:pStyle w:val="Sommario2"/>
            <w:rPr>
              <w:rFonts w:asciiTheme="minorHAnsi" w:eastAsiaTheme="minorEastAsia" w:hAnsiTheme="minorHAnsi" w:cstheme="minorBidi"/>
              <w:noProof/>
              <w:szCs w:val="22"/>
              <w:lang w:eastAsia="it-IT" w:bidi="ar-SA"/>
            </w:rPr>
          </w:pPr>
          <w:hyperlink w:anchor="_Toc518040080" w:history="1">
            <w:r w:rsidR="002A4228" w:rsidRPr="0013341F">
              <w:rPr>
                <w:rStyle w:val="Collegamentoipertestuale"/>
                <w:noProof/>
              </w:rPr>
              <w:t>8. Conclusioni</w:t>
            </w:r>
            <w:r w:rsidR="002A4228">
              <w:rPr>
                <w:noProof/>
                <w:webHidden/>
              </w:rPr>
              <w:tab/>
            </w:r>
            <w:r w:rsidR="002A4228">
              <w:rPr>
                <w:noProof/>
                <w:webHidden/>
              </w:rPr>
              <w:fldChar w:fldCharType="begin"/>
            </w:r>
            <w:r w:rsidR="002A4228">
              <w:rPr>
                <w:noProof/>
                <w:webHidden/>
              </w:rPr>
              <w:instrText xml:space="preserve"> PAGEREF _Toc518040080 \h </w:instrText>
            </w:r>
            <w:r w:rsidR="002A4228">
              <w:rPr>
                <w:noProof/>
                <w:webHidden/>
              </w:rPr>
            </w:r>
            <w:r w:rsidR="002A4228">
              <w:rPr>
                <w:noProof/>
                <w:webHidden/>
              </w:rPr>
              <w:fldChar w:fldCharType="separate"/>
            </w:r>
            <w:r w:rsidR="001A1099">
              <w:rPr>
                <w:noProof/>
                <w:webHidden/>
              </w:rPr>
              <w:t>59</w:t>
            </w:r>
            <w:r w:rsidR="002A4228">
              <w:rPr>
                <w:noProof/>
                <w:webHidden/>
              </w:rPr>
              <w:fldChar w:fldCharType="end"/>
            </w:r>
          </w:hyperlink>
        </w:p>
        <w:p w:rsidR="002A4228" w:rsidRDefault="007F67CB">
          <w:pPr>
            <w:pStyle w:val="Sommario2"/>
            <w:rPr>
              <w:rFonts w:asciiTheme="minorHAnsi" w:eastAsiaTheme="minorEastAsia" w:hAnsiTheme="minorHAnsi" w:cstheme="minorBidi"/>
              <w:noProof/>
              <w:szCs w:val="22"/>
              <w:lang w:eastAsia="it-IT" w:bidi="ar-SA"/>
            </w:rPr>
          </w:pPr>
          <w:hyperlink w:anchor="_Toc518040081" w:history="1">
            <w:r w:rsidR="002A4228" w:rsidRPr="0013341F">
              <w:rPr>
                <w:rStyle w:val="Collegamentoipertestuale"/>
                <w:noProof/>
              </w:rPr>
              <w:t>ALLEGATO 1: RELAZIONE DEL DIRETTORE GENERALE AL BILANCIO D’ESERCIZIO 2017</w:t>
            </w:r>
            <w:r w:rsidR="002A4228">
              <w:rPr>
                <w:noProof/>
                <w:webHidden/>
              </w:rPr>
              <w:tab/>
            </w:r>
            <w:r w:rsidR="002A4228">
              <w:rPr>
                <w:noProof/>
                <w:webHidden/>
              </w:rPr>
              <w:fldChar w:fldCharType="begin"/>
            </w:r>
            <w:r w:rsidR="002A4228">
              <w:rPr>
                <w:noProof/>
                <w:webHidden/>
              </w:rPr>
              <w:instrText xml:space="preserve"> PAGEREF _Toc518040081 \h </w:instrText>
            </w:r>
            <w:r w:rsidR="002A4228">
              <w:rPr>
                <w:noProof/>
                <w:webHidden/>
              </w:rPr>
            </w:r>
            <w:r w:rsidR="002A4228">
              <w:rPr>
                <w:noProof/>
                <w:webHidden/>
              </w:rPr>
              <w:fldChar w:fldCharType="separate"/>
            </w:r>
            <w:r w:rsidR="001A1099">
              <w:rPr>
                <w:noProof/>
                <w:webHidden/>
              </w:rPr>
              <w:t>60</w:t>
            </w:r>
            <w:r w:rsidR="002A4228">
              <w:rPr>
                <w:noProof/>
                <w:webHidden/>
              </w:rPr>
              <w:fldChar w:fldCharType="end"/>
            </w:r>
          </w:hyperlink>
        </w:p>
        <w:p w:rsidR="002A4228" w:rsidRDefault="007F67CB">
          <w:pPr>
            <w:pStyle w:val="Sommario2"/>
            <w:rPr>
              <w:rFonts w:asciiTheme="minorHAnsi" w:eastAsiaTheme="minorEastAsia" w:hAnsiTheme="minorHAnsi" w:cstheme="minorBidi"/>
              <w:noProof/>
              <w:szCs w:val="22"/>
              <w:lang w:eastAsia="it-IT" w:bidi="ar-SA"/>
            </w:rPr>
          </w:pPr>
          <w:hyperlink w:anchor="_Toc518040082" w:history="1">
            <w:r w:rsidR="002A4228" w:rsidRPr="0013341F">
              <w:rPr>
                <w:rStyle w:val="Collegamentoipertestuale"/>
                <w:noProof/>
              </w:rPr>
              <w:t>ALLEGATO 2: VALUTAZIONE  PRP ANNO 2017 EFFETTUATA DALLA RER</w:t>
            </w:r>
            <w:r w:rsidR="002A4228">
              <w:rPr>
                <w:noProof/>
                <w:webHidden/>
              </w:rPr>
              <w:tab/>
            </w:r>
            <w:r w:rsidR="002A4228">
              <w:rPr>
                <w:noProof/>
                <w:webHidden/>
              </w:rPr>
              <w:fldChar w:fldCharType="begin"/>
            </w:r>
            <w:r w:rsidR="002A4228">
              <w:rPr>
                <w:noProof/>
                <w:webHidden/>
              </w:rPr>
              <w:instrText xml:space="preserve"> PAGEREF _Toc518040082 \h </w:instrText>
            </w:r>
            <w:r w:rsidR="002A4228">
              <w:rPr>
                <w:noProof/>
                <w:webHidden/>
              </w:rPr>
            </w:r>
            <w:r w:rsidR="002A4228">
              <w:rPr>
                <w:noProof/>
                <w:webHidden/>
              </w:rPr>
              <w:fldChar w:fldCharType="separate"/>
            </w:r>
            <w:r w:rsidR="001A1099">
              <w:rPr>
                <w:noProof/>
                <w:webHidden/>
              </w:rPr>
              <w:t>60</w:t>
            </w:r>
            <w:r w:rsidR="002A4228">
              <w:rPr>
                <w:noProof/>
                <w:webHidden/>
              </w:rPr>
              <w:fldChar w:fldCharType="end"/>
            </w:r>
          </w:hyperlink>
        </w:p>
        <w:p w:rsidR="00E27519" w:rsidRDefault="0003178C">
          <w:r>
            <w:fldChar w:fldCharType="end"/>
          </w:r>
        </w:p>
      </w:sdtContent>
    </w:sdt>
    <w:p w:rsidR="00E27519" w:rsidRDefault="00E27519"/>
    <w:p w:rsidR="00E27519" w:rsidRDefault="00E27519">
      <w:pPr>
        <w:spacing w:before="0"/>
        <w:ind w:left="708"/>
        <w:jc w:val="center"/>
        <w:rPr>
          <w:b/>
          <w:bCs/>
          <w:color w:val="000000"/>
          <w:szCs w:val="22"/>
        </w:rPr>
      </w:pPr>
    </w:p>
    <w:p w:rsidR="00E27519" w:rsidRDefault="00E27519">
      <w:pPr>
        <w:rPr>
          <w:b/>
          <w:bCs/>
          <w:color w:val="000000"/>
          <w:szCs w:val="22"/>
        </w:rPr>
      </w:pPr>
    </w:p>
    <w:p w:rsidR="00E27519" w:rsidRDefault="00E27519">
      <w:pPr>
        <w:rPr>
          <w:b/>
          <w:bCs/>
          <w:color w:val="000000"/>
          <w:szCs w:val="22"/>
        </w:rPr>
      </w:pPr>
    </w:p>
    <w:p w:rsidR="00E27519" w:rsidRDefault="00E27519">
      <w:pPr>
        <w:rPr>
          <w:b/>
          <w:bCs/>
        </w:rPr>
      </w:pPr>
    </w:p>
    <w:p w:rsidR="00E27519" w:rsidRDefault="00E27519">
      <w:pPr>
        <w:rPr>
          <w:b/>
          <w:bCs/>
        </w:rPr>
      </w:pPr>
    </w:p>
    <w:p w:rsidR="00E27519" w:rsidRDefault="00E27519">
      <w:pPr>
        <w:rPr>
          <w:b/>
          <w:bCs/>
        </w:rPr>
      </w:pPr>
    </w:p>
    <w:p w:rsidR="00E27519" w:rsidRDefault="00E27519">
      <w:pPr>
        <w:rPr>
          <w:b/>
          <w:bCs/>
        </w:rPr>
      </w:pPr>
    </w:p>
    <w:p w:rsidR="00E27519" w:rsidRDefault="00E27519">
      <w:pPr>
        <w:rPr>
          <w:b/>
          <w:bCs/>
        </w:rPr>
      </w:pPr>
    </w:p>
    <w:p w:rsidR="00E27519" w:rsidRDefault="00E27519">
      <w:pPr>
        <w:rPr>
          <w:b/>
          <w:bCs/>
        </w:rPr>
      </w:pPr>
    </w:p>
    <w:p w:rsidR="00E27519" w:rsidRDefault="00E27519">
      <w:pPr>
        <w:rPr>
          <w:b/>
          <w:bCs/>
        </w:rPr>
      </w:pPr>
    </w:p>
    <w:p w:rsidR="00E27519" w:rsidRDefault="00E27519">
      <w:pPr>
        <w:rPr>
          <w:b/>
          <w:bCs/>
        </w:rPr>
      </w:pPr>
    </w:p>
    <w:p w:rsidR="00E27519" w:rsidRDefault="00E27519">
      <w:pPr>
        <w:rPr>
          <w:b/>
          <w:bCs/>
        </w:rPr>
      </w:pPr>
    </w:p>
    <w:p w:rsidR="00E27519" w:rsidRDefault="0003178C">
      <w:pPr>
        <w:suppressAutoHyphens w:val="0"/>
        <w:spacing w:before="0"/>
        <w:rPr>
          <w:b/>
          <w:bCs/>
        </w:rPr>
      </w:pPr>
      <w:r>
        <w:br w:type="page"/>
      </w:r>
    </w:p>
    <w:p w:rsidR="00E27519" w:rsidRDefault="00DD4B5B">
      <w:pPr>
        <w:pStyle w:val="Titolo1"/>
        <w:numPr>
          <w:ilvl w:val="0"/>
          <w:numId w:val="0"/>
        </w:numPr>
        <w:jc w:val="left"/>
        <w:rPr>
          <w:sz w:val="28"/>
        </w:rPr>
      </w:pPr>
      <w:bookmarkStart w:id="6" w:name="_Toc518040044"/>
      <w:r>
        <w:rPr>
          <w:sz w:val="28"/>
        </w:rPr>
        <w:lastRenderedPageBreak/>
        <w:t>Premessa</w:t>
      </w:r>
      <w:bookmarkEnd w:id="6"/>
    </w:p>
    <w:p w:rsidR="00E27519" w:rsidRDefault="00E27519">
      <w:pPr>
        <w:spacing w:before="0"/>
        <w:jc w:val="both"/>
        <w:rPr>
          <w:sz w:val="20"/>
        </w:rPr>
      </w:pPr>
    </w:p>
    <w:p w:rsidR="00E27519" w:rsidRDefault="0003178C">
      <w:pPr>
        <w:spacing w:before="0"/>
        <w:jc w:val="both"/>
        <w:rPr>
          <w:bCs/>
          <w:color w:val="000000"/>
          <w:sz w:val="20"/>
        </w:rPr>
      </w:pPr>
      <w:r w:rsidRPr="008F7885">
        <w:rPr>
          <w:sz w:val="20"/>
        </w:rPr>
        <w:t>L’Azienda USL di Modena, in coerenza con la delibera 1 del 2014 e la delibera 3 del 2015 dell’Organismo Indipendente di Valutazione (OIV) degli</w:t>
      </w:r>
      <w:r w:rsidRPr="008F7885">
        <w:rPr>
          <w:b/>
          <w:bCs/>
          <w:smallCaps/>
          <w:sz w:val="20"/>
        </w:rPr>
        <w:t xml:space="preserve"> </w:t>
      </w:r>
      <w:r w:rsidRPr="008F7885">
        <w:rPr>
          <w:sz w:val="20"/>
        </w:rPr>
        <w:t xml:space="preserve">Enti e Aziende del Servizio Sanitario Regionale della Regione Emilia-Romagna, redige il Piano della Perfomance e procede periodicamente alla rendicontazione dei risultati realizzati in relazione agli obiettivi assegnati. </w:t>
      </w:r>
      <w:r w:rsidRPr="008F7885">
        <w:rPr>
          <w:bCs/>
          <w:color w:val="000000"/>
          <w:sz w:val="20"/>
        </w:rPr>
        <w:t xml:space="preserve">Il ciclo di pianificazione impostato su Piano della Performance e Relazione è uno strumento, prevalentemente ma non esclusivamente ad uso esterno all’Azienda, che serve a rendicontare, ai diversi portatori di interesse, i risultati raggiunti dall’Azienda a seguito degli obiettivi strategici esplicitati nel Piano della Performance e negli ulteriori documenti di programmazione regionale e aziendale. </w:t>
      </w:r>
      <w:r w:rsidRPr="008F7885">
        <w:rPr>
          <w:sz w:val="20"/>
        </w:rPr>
        <w:t xml:space="preserve">Il documento che segue è la Relazione sulla Performance </w:t>
      </w:r>
      <w:r w:rsidR="002563E2" w:rsidRPr="008F7885">
        <w:rPr>
          <w:bCs/>
          <w:color w:val="000000"/>
          <w:sz w:val="20"/>
        </w:rPr>
        <w:t>a consuntivo dell’anno 2017</w:t>
      </w:r>
      <w:r w:rsidRPr="008F7885">
        <w:rPr>
          <w:bCs/>
          <w:color w:val="000000"/>
          <w:sz w:val="20"/>
        </w:rPr>
        <w:t xml:space="preserve"> e si inquadra nella realizzazione del Piano della Performance 2016-18 approvato dall’Azienda il 30 giugno 2016.</w:t>
      </w:r>
      <w:r>
        <w:rPr>
          <w:bCs/>
          <w:color w:val="000000"/>
          <w:sz w:val="20"/>
        </w:rPr>
        <w:t xml:space="preserve"> </w:t>
      </w:r>
    </w:p>
    <w:p w:rsidR="008E37FD" w:rsidRDefault="008E37FD">
      <w:pPr>
        <w:spacing w:before="0"/>
        <w:jc w:val="both"/>
        <w:rPr>
          <w:bCs/>
          <w:color w:val="000000"/>
          <w:sz w:val="20"/>
        </w:rPr>
      </w:pPr>
    </w:p>
    <w:p w:rsidR="00E27519" w:rsidRDefault="00DD4B5B">
      <w:pPr>
        <w:pStyle w:val="Titolo1"/>
        <w:numPr>
          <w:ilvl w:val="0"/>
          <w:numId w:val="0"/>
        </w:numPr>
        <w:jc w:val="left"/>
        <w:rPr>
          <w:sz w:val="28"/>
        </w:rPr>
      </w:pPr>
      <w:bookmarkStart w:id="7" w:name="_Toc518040045"/>
      <w:r w:rsidRPr="00D95585">
        <w:rPr>
          <w:sz w:val="28"/>
        </w:rPr>
        <w:t>Executive Summary</w:t>
      </w:r>
      <w:bookmarkEnd w:id="7"/>
    </w:p>
    <w:p w:rsidR="00E27519" w:rsidRPr="004E1D20" w:rsidRDefault="00992CB2" w:rsidP="008E37FD">
      <w:pPr>
        <w:jc w:val="both"/>
        <w:rPr>
          <w:sz w:val="20"/>
        </w:rPr>
      </w:pPr>
      <w:r w:rsidRPr="004E1D20">
        <w:rPr>
          <w:sz w:val="20"/>
        </w:rPr>
        <w:t xml:space="preserve">La </w:t>
      </w:r>
      <w:r w:rsidR="004E1D20" w:rsidRPr="004E1D20">
        <w:rPr>
          <w:sz w:val="20"/>
        </w:rPr>
        <w:t>Relazione della Performance 2017</w:t>
      </w:r>
      <w:r w:rsidRPr="004E1D20">
        <w:rPr>
          <w:sz w:val="20"/>
        </w:rPr>
        <w:t xml:space="preserve"> descrive, per area del Piano Strategico 2016 – 18, i risultati raggiunti dall’Azienda USL di Modena nel corso dell’anno, focalizzandosi sinteticamente sugli aspetti maggiormente qualificanti</w:t>
      </w:r>
      <w:r w:rsidR="004E1D20" w:rsidRPr="004E1D20">
        <w:rPr>
          <w:sz w:val="20"/>
        </w:rPr>
        <w:t>, sia sotto ilprofilo qualitativo che, nel</w:t>
      </w:r>
      <w:r w:rsidRPr="004E1D20">
        <w:rPr>
          <w:sz w:val="20"/>
        </w:rPr>
        <w:t xml:space="preserve"> capitolo 6, </w:t>
      </w:r>
      <w:r w:rsidR="004E1D20" w:rsidRPr="004E1D20">
        <w:rPr>
          <w:sz w:val="20"/>
        </w:rPr>
        <w:t xml:space="preserve">gli </w:t>
      </w:r>
      <w:r w:rsidRPr="004E1D20">
        <w:rPr>
          <w:sz w:val="20"/>
        </w:rPr>
        <w:t>indicatori quantitativi misurati dalla RER.</w:t>
      </w:r>
    </w:p>
    <w:p w:rsidR="004E1D20" w:rsidRDefault="004E1D20" w:rsidP="004E1D20">
      <w:pPr>
        <w:suppressAutoHyphens w:val="0"/>
        <w:spacing w:before="0"/>
        <w:jc w:val="both"/>
        <w:rPr>
          <w:rFonts w:eastAsia="Calibri"/>
          <w:sz w:val="20"/>
          <w:lang w:eastAsia="en-US"/>
        </w:rPr>
      </w:pPr>
      <w:r>
        <w:rPr>
          <w:rFonts w:eastAsia="Calibri"/>
          <w:sz w:val="20"/>
          <w:lang w:eastAsia="en-US"/>
        </w:rPr>
        <w:t>Il 2017 è stato caratterizzato dalla piena operatività della sperimentazione della gestione unica del NOCSAE da parte dell’AOU con il Policlinico</w:t>
      </w:r>
      <w:r w:rsidR="00ED75D0">
        <w:rPr>
          <w:rFonts w:eastAsia="Calibri"/>
          <w:sz w:val="20"/>
          <w:lang w:eastAsia="en-US"/>
        </w:rPr>
        <w:t xml:space="preserve"> e dall’avvio del progetto di riordino della rete ospedaliera</w:t>
      </w:r>
      <w:r>
        <w:rPr>
          <w:rFonts w:eastAsia="Calibri"/>
          <w:sz w:val="20"/>
          <w:lang w:eastAsia="en-US"/>
        </w:rPr>
        <w:t xml:space="preserve">. </w:t>
      </w:r>
    </w:p>
    <w:p w:rsidR="004E1D20" w:rsidRDefault="00ED75D0" w:rsidP="004E1D20">
      <w:pPr>
        <w:suppressAutoHyphens w:val="0"/>
        <w:spacing w:before="0"/>
        <w:jc w:val="both"/>
        <w:rPr>
          <w:rFonts w:eastAsia="Calibri"/>
          <w:sz w:val="20"/>
          <w:lang w:eastAsia="en-US"/>
        </w:rPr>
      </w:pPr>
      <w:r>
        <w:rPr>
          <w:rFonts w:eastAsia="Calibri"/>
          <w:sz w:val="20"/>
          <w:lang w:eastAsia="en-US"/>
        </w:rPr>
        <w:t xml:space="preserve">Altre </w:t>
      </w:r>
      <w:r w:rsidR="004E1D20">
        <w:rPr>
          <w:rFonts w:eastAsia="Calibri"/>
          <w:sz w:val="20"/>
          <w:lang w:eastAsia="en-US"/>
        </w:rPr>
        <w:t xml:space="preserve">linee di intervento prioritarie </w:t>
      </w:r>
      <w:r>
        <w:rPr>
          <w:rFonts w:eastAsia="Calibri"/>
          <w:sz w:val="20"/>
          <w:lang w:eastAsia="en-US"/>
        </w:rPr>
        <w:t xml:space="preserve">sono </w:t>
      </w:r>
      <w:r w:rsidR="004E1D20">
        <w:rPr>
          <w:rFonts w:eastAsia="Calibri"/>
          <w:sz w:val="20"/>
          <w:lang w:eastAsia="en-US"/>
        </w:rPr>
        <w:t>deriva</w:t>
      </w:r>
      <w:r>
        <w:rPr>
          <w:rFonts w:eastAsia="Calibri"/>
          <w:sz w:val="20"/>
          <w:lang w:eastAsia="en-US"/>
        </w:rPr>
        <w:t>te</w:t>
      </w:r>
      <w:r w:rsidR="004E1D20">
        <w:rPr>
          <w:rFonts w:eastAsia="Calibri"/>
          <w:sz w:val="20"/>
          <w:lang w:eastAsia="en-US"/>
        </w:rPr>
        <w:t xml:space="preserve"> dal lavoro </w:t>
      </w:r>
      <w:r>
        <w:rPr>
          <w:rFonts w:eastAsia="Calibri"/>
          <w:sz w:val="20"/>
          <w:lang w:eastAsia="en-US"/>
        </w:rPr>
        <w:t xml:space="preserve">già </w:t>
      </w:r>
      <w:r w:rsidR="004E1D20">
        <w:rPr>
          <w:rFonts w:eastAsia="Calibri"/>
          <w:sz w:val="20"/>
          <w:lang w:eastAsia="en-US"/>
        </w:rPr>
        <w:t xml:space="preserve">impostato nel 2016, in particolare relativamente al recupero dei tempi di attesa per i ricoveri di chirurgia programmata e il </w:t>
      </w:r>
      <w:r>
        <w:rPr>
          <w:rFonts w:eastAsia="Calibri"/>
          <w:sz w:val="20"/>
          <w:lang w:eastAsia="en-US"/>
        </w:rPr>
        <w:t>mantenimento dei risultati ottenuti sui tempi di attesa della specialistica ambulatoriale e della diagnostica.</w:t>
      </w:r>
      <w:r w:rsidR="004E1D20">
        <w:rPr>
          <w:rFonts w:eastAsia="Calibri"/>
          <w:sz w:val="20"/>
          <w:lang w:eastAsia="en-US"/>
        </w:rPr>
        <w:t xml:space="preserve"> </w:t>
      </w:r>
    </w:p>
    <w:p w:rsidR="004E1D20" w:rsidRDefault="004E1D20" w:rsidP="004E1D20">
      <w:pPr>
        <w:suppressAutoHyphens w:val="0"/>
        <w:spacing w:before="0"/>
        <w:jc w:val="both"/>
        <w:rPr>
          <w:rFonts w:eastAsia="Calibri"/>
          <w:sz w:val="20"/>
          <w:lang w:eastAsia="en-US"/>
        </w:rPr>
      </w:pPr>
      <w:r>
        <w:rPr>
          <w:rFonts w:eastAsia="Calibri"/>
          <w:sz w:val="20"/>
          <w:lang w:eastAsia="en-US"/>
        </w:rPr>
        <w:t>Il ciclo di programmazione Budget 2017 è stato concluso nel dicembre 2016 e l’Azienda si è quindi orientata da subito nel perseguimento degli obiettivi negoziati, in continuità con quanto avviato nel 2016 e prestando le medesime attenzioni sia allo sviluppo dei servizi in ottica di risposta ai bisogni dei cittadini che di utilizzo efficiente delle risorse disponibili. Con la DGR 830 del 12 giugno 2017, la programmazione regionale ha formalmente indirizzato l’attività aziendale per il 2017 e le indicazioni contenute sono state oggetto di integrazione nelle schede di budget con il secondo monitoraggio annuale, tenutosi tra luglio 2017 e inizio settembre 2017.</w:t>
      </w:r>
    </w:p>
    <w:p w:rsidR="00A339FF" w:rsidRPr="00A339FF" w:rsidRDefault="00A339FF" w:rsidP="008E37FD">
      <w:pPr>
        <w:jc w:val="both"/>
        <w:rPr>
          <w:sz w:val="20"/>
        </w:rPr>
      </w:pPr>
      <w:r w:rsidRPr="00A339FF">
        <w:rPr>
          <w:sz w:val="20"/>
        </w:rPr>
        <w:t xml:space="preserve">La Relazione è articolata in capitoli. </w:t>
      </w:r>
    </w:p>
    <w:p w:rsidR="00C70102" w:rsidRPr="00C70102" w:rsidRDefault="00992CB2" w:rsidP="008E37FD">
      <w:pPr>
        <w:jc w:val="both"/>
        <w:rPr>
          <w:sz w:val="20"/>
        </w:rPr>
      </w:pPr>
      <w:r w:rsidRPr="00C70102">
        <w:rPr>
          <w:sz w:val="20"/>
        </w:rPr>
        <w:t xml:space="preserve">Nel primo capitolo, “Le Aree strategiche di intervento del PP” è riportato in grande sintesi lo stato  di avanzamento dei progetti </w:t>
      </w:r>
      <w:r w:rsidR="00F87AC0" w:rsidRPr="00C70102">
        <w:rPr>
          <w:sz w:val="20"/>
        </w:rPr>
        <w:t xml:space="preserve">strategici </w:t>
      </w:r>
      <w:r w:rsidRPr="00C70102">
        <w:rPr>
          <w:sz w:val="20"/>
        </w:rPr>
        <w:t>riportati nel Piano della Performance</w:t>
      </w:r>
      <w:r w:rsidR="00C70102" w:rsidRPr="00C70102">
        <w:rPr>
          <w:sz w:val="20"/>
        </w:rPr>
        <w:t xml:space="preserve"> 2016-18</w:t>
      </w:r>
      <w:r w:rsidRPr="00C70102">
        <w:rPr>
          <w:sz w:val="20"/>
        </w:rPr>
        <w:t xml:space="preserve">, con l’evidenziazione del Progetto di sperimentazione della gestione unificata del NOCSAE (DGR 1004/2016) da parte dell’AOU, avviato dal 1/1/2017 e descritto in maggiore dettaglio nel </w:t>
      </w:r>
      <w:r w:rsidRPr="00E47379">
        <w:rPr>
          <w:sz w:val="20"/>
        </w:rPr>
        <w:t>Capitolo</w:t>
      </w:r>
      <w:r w:rsidR="00E11B44">
        <w:rPr>
          <w:sz w:val="20"/>
        </w:rPr>
        <w:t xml:space="preserve"> 5</w:t>
      </w:r>
      <w:r w:rsidR="008E37FD" w:rsidRPr="00C70102">
        <w:rPr>
          <w:sz w:val="20"/>
        </w:rPr>
        <w:t xml:space="preserve">. </w:t>
      </w:r>
      <w:r w:rsidR="008A543F">
        <w:rPr>
          <w:sz w:val="20"/>
        </w:rPr>
        <w:t xml:space="preserve"> Si </w:t>
      </w:r>
      <w:r w:rsidR="007F6C03">
        <w:rPr>
          <w:sz w:val="20"/>
        </w:rPr>
        <w:t xml:space="preserve">è inoltre rafforzata la </w:t>
      </w:r>
      <w:r w:rsidR="008A543F">
        <w:rPr>
          <w:sz w:val="20"/>
        </w:rPr>
        <w:t>collaborazione con l’Ospedale di Sassuolo SpA con l’avvio a Pavullo e a Vignola di attività di chirurgia generale da parte dell’equipe del NOS, sia per interventi di chirurgia ambulatoriale che in ricovero ordinario, volta alla riduzione dei tempi di attesa</w:t>
      </w:r>
      <w:r w:rsidR="007F6C03">
        <w:rPr>
          <w:sz w:val="20"/>
        </w:rPr>
        <w:t xml:space="preserve"> degli interventi chirurgici programmati</w:t>
      </w:r>
      <w:r w:rsidR="008A543F">
        <w:rPr>
          <w:sz w:val="20"/>
        </w:rPr>
        <w:t xml:space="preserve">. </w:t>
      </w:r>
      <w:r w:rsidR="00C70102" w:rsidRPr="00C70102">
        <w:rPr>
          <w:sz w:val="20"/>
        </w:rPr>
        <w:t>Si confermano nel 2017 a</w:t>
      </w:r>
      <w:r w:rsidR="008E37FD" w:rsidRPr="00C70102">
        <w:rPr>
          <w:sz w:val="20"/>
        </w:rPr>
        <w:t xml:space="preserve">ltri obiettivi importanti </w:t>
      </w:r>
      <w:r w:rsidR="00C70102" w:rsidRPr="00C70102">
        <w:rPr>
          <w:sz w:val="20"/>
        </w:rPr>
        <w:t xml:space="preserve">quali </w:t>
      </w:r>
      <w:r w:rsidR="008E37FD" w:rsidRPr="00C70102">
        <w:rPr>
          <w:sz w:val="20"/>
        </w:rPr>
        <w:t xml:space="preserve">il mantenimento dei risultati raggiunti in termini di controllo e riduzione dei tempi di attesa della specialistica ambulatoriale e </w:t>
      </w:r>
      <w:r w:rsidR="00C70102" w:rsidRPr="00C70102">
        <w:rPr>
          <w:sz w:val="20"/>
        </w:rPr>
        <w:t>del</w:t>
      </w:r>
      <w:r w:rsidR="008E37FD" w:rsidRPr="00C70102">
        <w:rPr>
          <w:sz w:val="20"/>
        </w:rPr>
        <w:t>la diagnostica (MAPS) e l’avvio del progetto per il controllo dei tempi di attesa dei ricoveri chirurgici programmati</w:t>
      </w:r>
      <w:r w:rsidR="00C70102" w:rsidRPr="00C70102">
        <w:rPr>
          <w:sz w:val="20"/>
        </w:rPr>
        <w:t xml:space="preserve"> con i primi risultati positivi</w:t>
      </w:r>
      <w:r w:rsidR="008E37FD" w:rsidRPr="00C70102">
        <w:rPr>
          <w:sz w:val="20"/>
        </w:rPr>
        <w:t xml:space="preserve">, la continuazione dell’impegno ad un ascolto attivo dei cittadini e all’implementazione di modalità di partecipazione attiva, anche attraverso i social media. </w:t>
      </w:r>
      <w:r w:rsidR="00B05B9F">
        <w:rPr>
          <w:sz w:val="20"/>
        </w:rPr>
        <w:t>Tra i risultati che riguardano le sedi fisiche dell’Azienda, riportiamo nel 2017 la nuova sede della Medicina di continuità a Modena, l’avvio dei lavori di riqualificazione dell’Ospedale di Pavullo, parcheggi ed area esterna  e area di attesa del PS.</w:t>
      </w:r>
    </w:p>
    <w:p w:rsidR="00CC595F" w:rsidRPr="00C70102" w:rsidRDefault="00F87AC0" w:rsidP="008E37FD">
      <w:pPr>
        <w:jc w:val="both"/>
        <w:rPr>
          <w:sz w:val="20"/>
        </w:rPr>
      </w:pPr>
      <w:r w:rsidRPr="00C70102">
        <w:rPr>
          <w:sz w:val="20"/>
        </w:rPr>
        <w:t>Il Capitolo dedicato all’area delle Politiche integrate della promozione e tutela della salute illustra i principali risultati ottenuti in merito ai progetti di promozione della salute sugli stili di vita salutari, rivolti in primis agli adolescenti anche in merito alle iniziative anti violenza; si ripo</w:t>
      </w:r>
      <w:r w:rsidR="00C175F2" w:rsidRPr="00C70102">
        <w:rPr>
          <w:sz w:val="20"/>
        </w:rPr>
        <w:t>rtano i dati sugli screening on</w:t>
      </w:r>
      <w:r w:rsidRPr="00C70102">
        <w:rPr>
          <w:sz w:val="20"/>
        </w:rPr>
        <w:t>c</w:t>
      </w:r>
      <w:r w:rsidR="00C175F2" w:rsidRPr="00C70102">
        <w:rPr>
          <w:sz w:val="20"/>
        </w:rPr>
        <w:t>o</w:t>
      </w:r>
      <w:r w:rsidRPr="00C70102">
        <w:rPr>
          <w:sz w:val="20"/>
        </w:rPr>
        <w:t xml:space="preserve">logici, misurati dalla RER, dai quali si </w:t>
      </w:r>
      <w:r w:rsidR="00C175F2" w:rsidRPr="00C70102">
        <w:rPr>
          <w:sz w:val="20"/>
        </w:rPr>
        <w:t xml:space="preserve">evince un buon </w:t>
      </w:r>
      <w:r w:rsidR="00C175F2" w:rsidRPr="00C70102">
        <w:rPr>
          <w:sz w:val="20"/>
        </w:rPr>
        <w:lastRenderedPageBreak/>
        <w:t>posizionamento dell’Azienda in termini di estensione ed adesione agli inviti rispetto alle medie regionali per lo screening mammografico e della cervice e leggermente inferiore per quello del colon retto. La realizzazione del Piano Regionale della Prevenzione 2016-</w:t>
      </w:r>
      <w:r w:rsidR="00C70102" w:rsidRPr="00C70102">
        <w:rPr>
          <w:sz w:val="20"/>
        </w:rPr>
        <w:t>18 ha centrato l’obiettivo in 42</w:t>
      </w:r>
      <w:r w:rsidR="00C175F2" w:rsidRPr="00C70102">
        <w:rPr>
          <w:sz w:val="20"/>
        </w:rPr>
        <w:t xml:space="preserve"> progetti su 44, </w:t>
      </w:r>
      <w:r w:rsidR="00C70102" w:rsidRPr="00C70102">
        <w:rPr>
          <w:sz w:val="20"/>
        </w:rPr>
        <w:t xml:space="preserve">valutazione riportata in </w:t>
      </w:r>
      <w:r w:rsidR="00C175F2" w:rsidRPr="00C70102">
        <w:rPr>
          <w:sz w:val="20"/>
        </w:rPr>
        <w:t xml:space="preserve">dettaglio nell’Allegato 2. Un impegno </w:t>
      </w:r>
      <w:r w:rsidR="00C70102" w:rsidRPr="00C70102">
        <w:rPr>
          <w:sz w:val="20"/>
        </w:rPr>
        <w:t xml:space="preserve">importante </w:t>
      </w:r>
      <w:r w:rsidR="00C175F2" w:rsidRPr="00C70102">
        <w:rPr>
          <w:sz w:val="20"/>
        </w:rPr>
        <w:t>è stato dedicat</w:t>
      </w:r>
      <w:r w:rsidR="00C70102" w:rsidRPr="00C70102">
        <w:rPr>
          <w:sz w:val="20"/>
        </w:rPr>
        <w:t>o nel 2017</w:t>
      </w:r>
      <w:r w:rsidR="00C175F2" w:rsidRPr="00C70102">
        <w:rPr>
          <w:sz w:val="20"/>
        </w:rPr>
        <w:t xml:space="preserve"> al tema delle vaccinazioni, sia pediatriche </w:t>
      </w:r>
      <w:r w:rsidR="00B05B9F">
        <w:rPr>
          <w:sz w:val="20"/>
        </w:rPr>
        <w:t xml:space="preserve">con il nuovo piano vaccinale e il Decreto Lorenzin, </w:t>
      </w:r>
      <w:r w:rsidR="00C175F2" w:rsidRPr="00C70102">
        <w:rPr>
          <w:sz w:val="20"/>
        </w:rPr>
        <w:t>che anti</w:t>
      </w:r>
      <w:r w:rsidR="00284B11" w:rsidRPr="00C70102">
        <w:rPr>
          <w:sz w:val="20"/>
        </w:rPr>
        <w:t>n</w:t>
      </w:r>
      <w:r w:rsidR="00C175F2" w:rsidRPr="00C70102">
        <w:rPr>
          <w:sz w:val="20"/>
        </w:rPr>
        <w:t>fluenz</w:t>
      </w:r>
      <w:r w:rsidR="00CC595F" w:rsidRPr="00C70102">
        <w:rPr>
          <w:sz w:val="20"/>
        </w:rPr>
        <w:t>ali; in merito alle vaccinazioni pediatriche si riportano i risultati 201</w:t>
      </w:r>
      <w:r w:rsidR="00C70102" w:rsidRPr="00C70102">
        <w:rPr>
          <w:sz w:val="20"/>
        </w:rPr>
        <w:t>7</w:t>
      </w:r>
      <w:r w:rsidR="00CC595F" w:rsidRPr="00C70102">
        <w:rPr>
          <w:sz w:val="20"/>
        </w:rPr>
        <w:t xml:space="preserve">, che </w:t>
      </w:r>
      <w:r w:rsidR="00C70102" w:rsidRPr="00C70102">
        <w:rPr>
          <w:sz w:val="20"/>
        </w:rPr>
        <w:t xml:space="preserve">si confermano </w:t>
      </w:r>
      <w:r w:rsidR="00CC595F" w:rsidRPr="00C70102">
        <w:rPr>
          <w:sz w:val="20"/>
        </w:rPr>
        <w:t xml:space="preserve">mediamente superiori alla media regionale, </w:t>
      </w:r>
      <w:r w:rsidR="00B05B9F">
        <w:rPr>
          <w:sz w:val="20"/>
        </w:rPr>
        <w:t xml:space="preserve">in deciso avvicinamento </w:t>
      </w:r>
      <w:r w:rsidR="00C70102" w:rsidRPr="00C70102">
        <w:rPr>
          <w:sz w:val="20"/>
        </w:rPr>
        <w:t>al target del 95%</w:t>
      </w:r>
      <w:r w:rsidR="00CC595F" w:rsidRPr="00C70102">
        <w:rPr>
          <w:sz w:val="20"/>
        </w:rPr>
        <w:t xml:space="preserve">. </w:t>
      </w:r>
      <w:r w:rsidR="00B05B9F">
        <w:rPr>
          <w:sz w:val="20"/>
        </w:rPr>
        <w:t>Si sottolinea il grande risultato della vaccinazione antinfluenzale degli operatori (3</w:t>
      </w:r>
      <w:r w:rsidR="00CE62E0">
        <w:rPr>
          <w:sz w:val="20"/>
        </w:rPr>
        <w:t>7</w:t>
      </w:r>
      <w:r w:rsidR="00B05B9F">
        <w:rPr>
          <w:sz w:val="20"/>
        </w:rPr>
        <w:t xml:space="preserve">% degli operatori sanitari, migliore risultato in RER </w:t>
      </w:r>
      <w:r w:rsidR="00CE62E0">
        <w:rPr>
          <w:sz w:val="20"/>
        </w:rPr>
        <w:t xml:space="preserve">tra le </w:t>
      </w:r>
      <w:r w:rsidR="00B05B9F">
        <w:rPr>
          <w:sz w:val="20"/>
        </w:rPr>
        <w:t>azie</w:t>
      </w:r>
      <w:r w:rsidR="00CE62E0">
        <w:rPr>
          <w:sz w:val="20"/>
        </w:rPr>
        <w:t>nde</w:t>
      </w:r>
      <w:r w:rsidR="00B05B9F">
        <w:rPr>
          <w:sz w:val="20"/>
        </w:rPr>
        <w:t xml:space="preserve"> sanitari</w:t>
      </w:r>
      <w:r w:rsidR="00CE62E0">
        <w:rPr>
          <w:sz w:val="20"/>
        </w:rPr>
        <w:t>e</w:t>
      </w:r>
      <w:r w:rsidR="00B05B9F">
        <w:rPr>
          <w:sz w:val="20"/>
        </w:rPr>
        <w:t xml:space="preserve"> territorial</w:t>
      </w:r>
      <w:r w:rsidR="00CE62E0">
        <w:rPr>
          <w:sz w:val="20"/>
        </w:rPr>
        <w:t>i</w:t>
      </w:r>
      <w:r w:rsidR="00B05B9F">
        <w:rPr>
          <w:sz w:val="20"/>
        </w:rPr>
        <w:t>).</w:t>
      </w:r>
      <w:r w:rsidR="00CC595F" w:rsidRPr="00C70102">
        <w:rPr>
          <w:sz w:val="20"/>
        </w:rPr>
        <w:t xml:space="preserve"> Nell’area della Salute Mentale è proseguito l’impegno sulle attività territoriali e su quelle ospedaliere con </w:t>
      </w:r>
      <w:r w:rsidR="00C70102" w:rsidRPr="00C70102">
        <w:rPr>
          <w:sz w:val="20"/>
        </w:rPr>
        <w:t xml:space="preserve">l’avvio concreto </w:t>
      </w:r>
      <w:r w:rsidR="008A543F">
        <w:rPr>
          <w:sz w:val="20"/>
        </w:rPr>
        <w:t xml:space="preserve">a febbraio 2017 </w:t>
      </w:r>
      <w:r w:rsidR="00C70102" w:rsidRPr="00C70102">
        <w:rPr>
          <w:sz w:val="20"/>
        </w:rPr>
        <w:t xml:space="preserve">della sperimentazione del progetto </w:t>
      </w:r>
      <w:r w:rsidR="00CC595F" w:rsidRPr="00C70102">
        <w:rPr>
          <w:sz w:val="20"/>
        </w:rPr>
        <w:t xml:space="preserve">dell’attività SPDC per acuti con quella di riabilitazione intensiva RTI, nella stessa unità fisica a Carpi. </w:t>
      </w:r>
    </w:p>
    <w:p w:rsidR="00F47D0D" w:rsidRPr="00D95585" w:rsidRDefault="00F47D0D" w:rsidP="008E37FD">
      <w:pPr>
        <w:jc w:val="both"/>
        <w:rPr>
          <w:sz w:val="20"/>
        </w:rPr>
      </w:pPr>
      <w:r w:rsidRPr="00CE62E0">
        <w:rPr>
          <w:sz w:val="20"/>
        </w:rPr>
        <w:t>Il capitolo 2</w:t>
      </w:r>
      <w:r w:rsidR="006F0952" w:rsidRPr="00CE62E0">
        <w:rPr>
          <w:sz w:val="20"/>
        </w:rPr>
        <w:t>,</w:t>
      </w:r>
      <w:r w:rsidRPr="00CE62E0">
        <w:rPr>
          <w:sz w:val="20"/>
        </w:rPr>
        <w:t xml:space="preserve"> </w:t>
      </w:r>
      <w:r w:rsidR="004078AA" w:rsidRPr="00CE62E0">
        <w:rPr>
          <w:sz w:val="20"/>
        </w:rPr>
        <w:t>P</w:t>
      </w:r>
      <w:r w:rsidRPr="00CE62E0">
        <w:rPr>
          <w:sz w:val="20"/>
        </w:rPr>
        <w:t>olitiche per la semplificazione e l’equità nell’accesso ai servizi</w:t>
      </w:r>
      <w:r w:rsidR="006F0952" w:rsidRPr="00CE62E0">
        <w:rPr>
          <w:sz w:val="20"/>
        </w:rPr>
        <w:t>,</w:t>
      </w:r>
      <w:r w:rsidR="005818C3" w:rsidRPr="00CE62E0">
        <w:rPr>
          <w:sz w:val="20"/>
        </w:rPr>
        <w:t xml:space="preserve"> </w:t>
      </w:r>
      <w:r w:rsidR="006F0952" w:rsidRPr="00CE62E0">
        <w:rPr>
          <w:sz w:val="20"/>
        </w:rPr>
        <w:t xml:space="preserve">riporta </w:t>
      </w:r>
      <w:r w:rsidR="005818C3" w:rsidRPr="00CE62E0">
        <w:rPr>
          <w:sz w:val="20"/>
        </w:rPr>
        <w:t xml:space="preserve">i risultati raggiunti e in particolare </w:t>
      </w:r>
      <w:r w:rsidR="00CE62E0" w:rsidRPr="00CE62E0">
        <w:rPr>
          <w:sz w:val="20"/>
        </w:rPr>
        <w:t xml:space="preserve">per la CdS di Modena Nord per la quale sono stati avviati i lavori nel 2017 </w:t>
      </w:r>
      <w:r w:rsidR="005818C3" w:rsidRPr="00CE62E0">
        <w:rPr>
          <w:sz w:val="20"/>
        </w:rPr>
        <w:t xml:space="preserve">e </w:t>
      </w:r>
      <w:r w:rsidR="00CE62E0" w:rsidRPr="00CE62E0">
        <w:rPr>
          <w:sz w:val="20"/>
        </w:rPr>
        <w:t xml:space="preserve">con la continuazione della progettazione e la realizzazione della gara per la CdS di Carpi, la continuazione della progettazione per la CdS di Mirandola e dei lavori per Finale Emilia. Inoltre, è continuato </w:t>
      </w:r>
      <w:r w:rsidR="005818C3" w:rsidRPr="00CE62E0">
        <w:rPr>
          <w:sz w:val="20"/>
        </w:rPr>
        <w:t>l’impegno dell’Azienda nel consolidamento della funzione dei due OsCo attivi nel territorio</w:t>
      </w:r>
      <w:r w:rsidR="00CE62E0" w:rsidRPr="00CE62E0">
        <w:rPr>
          <w:sz w:val="20"/>
        </w:rPr>
        <w:t>, attraverso una migliore gestione della valutazione degli accessi, sempre multidisciplinare, e della durata della degenza</w:t>
      </w:r>
      <w:r w:rsidR="005818C3" w:rsidRPr="00CE62E0">
        <w:rPr>
          <w:sz w:val="20"/>
        </w:rPr>
        <w:t xml:space="preserve">. Sono stati avviati progetti di presa in carico dei pazienti cronici e di raccolta dell’esperienza del cittadino e dell’operatore nel percorso di accesso e di cura. Sono riportati i dati dei risultati di MAPS in merito al rispetto dei tempi per la prima visita di specialistica ambulatoriale e di diagnostica, risultati pienamente raggiunti </w:t>
      </w:r>
      <w:r w:rsidR="00CE62E0" w:rsidRPr="00CE62E0">
        <w:rPr>
          <w:sz w:val="20"/>
        </w:rPr>
        <w:t xml:space="preserve">anche </w:t>
      </w:r>
      <w:r w:rsidR="005818C3" w:rsidRPr="00CE62E0">
        <w:rPr>
          <w:sz w:val="20"/>
        </w:rPr>
        <w:t>nel 201</w:t>
      </w:r>
      <w:r w:rsidR="00CE62E0" w:rsidRPr="00CE62E0">
        <w:rPr>
          <w:sz w:val="20"/>
        </w:rPr>
        <w:t>7</w:t>
      </w:r>
      <w:r w:rsidR="005818C3" w:rsidRPr="00CE62E0">
        <w:rPr>
          <w:sz w:val="20"/>
        </w:rPr>
        <w:t>. Altra area di obiettivi rilevanti per l’Azienda è stata quella del controllo dei tempi di attesa per i ricoveri chirurgici programmati, su cui</w:t>
      </w:r>
      <w:r w:rsidR="00CE62E0" w:rsidRPr="00CE62E0">
        <w:rPr>
          <w:sz w:val="20"/>
        </w:rPr>
        <w:t xml:space="preserve">, dopo le </w:t>
      </w:r>
      <w:r w:rsidR="005818C3" w:rsidRPr="00CE62E0">
        <w:rPr>
          <w:sz w:val="20"/>
        </w:rPr>
        <w:t xml:space="preserve">prime azioni individuate dalla RER, </w:t>
      </w:r>
      <w:r w:rsidR="00CE62E0" w:rsidRPr="00CE62E0">
        <w:rPr>
          <w:sz w:val="20"/>
        </w:rPr>
        <w:t xml:space="preserve">si sono avviate attività </w:t>
      </w:r>
      <w:r w:rsidR="005818C3" w:rsidRPr="00CE62E0">
        <w:rPr>
          <w:sz w:val="20"/>
        </w:rPr>
        <w:t>per il controllo dei tempi di attesa retrospettivi e prospettici</w:t>
      </w:r>
      <w:r w:rsidR="00CE62E0" w:rsidRPr="00CE62E0">
        <w:rPr>
          <w:sz w:val="20"/>
        </w:rPr>
        <w:t>, attraverso interventi sulla standardizzazione del prericovero, sull’attribuzione delle sedute agli interventi con maggiore lista di attesa, alla gestione congiunta di tutte le piattaforme chirurgiche per la realizzazione degli interventi, alla messa a punto di meccanismi di coordinamento con i clinici utili a questo fine</w:t>
      </w:r>
      <w:r w:rsidR="005818C3" w:rsidRPr="00CE62E0">
        <w:rPr>
          <w:sz w:val="20"/>
        </w:rPr>
        <w:t xml:space="preserve">. </w:t>
      </w:r>
      <w:r w:rsidR="00965897">
        <w:rPr>
          <w:sz w:val="20"/>
        </w:rPr>
        <w:t xml:space="preserve">Alcuni dati sull’accesso ai servizi della salute mentale completano il capitolo, insieme a un aggiornamento sul tema delle </w:t>
      </w:r>
      <w:r w:rsidR="004078AA" w:rsidRPr="00D95585">
        <w:rPr>
          <w:sz w:val="20"/>
        </w:rPr>
        <w:t xml:space="preserve">iniziative </w:t>
      </w:r>
      <w:r w:rsidR="00965897" w:rsidRPr="00D95585">
        <w:rPr>
          <w:sz w:val="20"/>
        </w:rPr>
        <w:t xml:space="preserve">realizzate nel 2017 </w:t>
      </w:r>
      <w:r w:rsidR="004078AA" w:rsidRPr="00D95585">
        <w:rPr>
          <w:sz w:val="20"/>
        </w:rPr>
        <w:t xml:space="preserve">in merito all’Equità, </w:t>
      </w:r>
      <w:r w:rsidR="00965897" w:rsidRPr="00D95585">
        <w:rPr>
          <w:sz w:val="20"/>
        </w:rPr>
        <w:t>sul HEA del percorso diabete e del percorso nascita.</w:t>
      </w:r>
    </w:p>
    <w:p w:rsidR="004078AA" w:rsidRPr="00D95585" w:rsidRDefault="004078AA" w:rsidP="008E37FD">
      <w:pPr>
        <w:jc w:val="both"/>
        <w:rPr>
          <w:sz w:val="20"/>
        </w:rPr>
      </w:pPr>
      <w:r w:rsidRPr="00D95585">
        <w:rPr>
          <w:sz w:val="20"/>
        </w:rPr>
        <w:t>Il capitolo 3 riporta alcuni indicatori relativi a</w:t>
      </w:r>
      <w:r w:rsidR="006F0952" w:rsidRPr="00D95585">
        <w:rPr>
          <w:sz w:val="20"/>
        </w:rPr>
        <w:t>i</w:t>
      </w:r>
      <w:r w:rsidRPr="00D95585">
        <w:rPr>
          <w:sz w:val="20"/>
        </w:rPr>
        <w:t xml:space="preserve"> Percorsi Clinico</w:t>
      </w:r>
      <w:r w:rsidR="006F0952" w:rsidRPr="00D95585">
        <w:rPr>
          <w:sz w:val="20"/>
        </w:rPr>
        <w:t xml:space="preserve"> assistenziali</w:t>
      </w:r>
      <w:r w:rsidR="00D95585" w:rsidRPr="00D95585">
        <w:rPr>
          <w:sz w:val="20"/>
        </w:rPr>
        <w:t xml:space="preserve">, </w:t>
      </w:r>
      <w:r w:rsidR="006F0952" w:rsidRPr="00D95585">
        <w:rPr>
          <w:sz w:val="20"/>
        </w:rPr>
        <w:t>Ca Mammella, Ca Colon, Percorso Nascita, Ictus, frattura del collo del femore nell’anziano, scompenso cardiaco, monitorati internamente all’Azienda attraverso un insieme di indicatori nelle diverse fas</w:t>
      </w:r>
      <w:r w:rsidR="00D95585" w:rsidRPr="00D95585">
        <w:rPr>
          <w:sz w:val="20"/>
        </w:rPr>
        <w:t>i del percorso. I risultati 2017</w:t>
      </w:r>
      <w:r w:rsidR="006F0952" w:rsidRPr="00D95585">
        <w:rPr>
          <w:sz w:val="20"/>
        </w:rPr>
        <w:t xml:space="preserve"> sono soddisfacenti, complessivamente nell’area verde </w:t>
      </w:r>
      <w:r w:rsidR="00D95585" w:rsidRPr="00D95585">
        <w:rPr>
          <w:sz w:val="20"/>
        </w:rPr>
        <w:t xml:space="preserve">o verdina </w:t>
      </w:r>
      <w:r w:rsidR="006F0952" w:rsidRPr="00D95585">
        <w:rPr>
          <w:sz w:val="20"/>
        </w:rPr>
        <w:t>del pieno raggiungimento</w:t>
      </w:r>
      <w:r w:rsidR="00D95585" w:rsidRPr="00D95585">
        <w:rPr>
          <w:sz w:val="20"/>
        </w:rPr>
        <w:t>, con in miglioramento tutti i percorsi, tranne ca colon e scompenso cardiaco che invece evidenziano un peggioramento (lo scompenso si mantiene comunque in area di pieno raggiungimento)</w:t>
      </w:r>
      <w:r w:rsidR="006F0952" w:rsidRPr="00D95585">
        <w:rPr>
          <w:sz w:val="20"/>
        </w:rPr>
        <w:t>. I dati sono riferiti all’intera provincia, quindi includono anche le prestazioni erogate dal NOS e dall’AUO Policlinico.</w:t>
      </w:r>
    </w:p>
    <w:p w:rsidR="006F0952" w:rsidRPr="00190ACB" w:rsidRDefault="006F0952" w:rsidP="008E37FD">
      <w:pPr>
        <w:jc w:val="both"/>
        <w:rPr>
          <w:sz w:val="20"/>
        </w:rPr>
      </w:pPr>
      <w:r w:rsidRPr="00190ACB">
        <w:rPr>
          <w:sz w:val="20"/>
        </w:rPr>
        <w:t xml:space="preserve">Riguardo le Politiche per la valorizzazione professionale, il capitolo 4 riporta alcuni </w:t>
      </w:r>
      <w:r w:rsidR="00E1024B">
        <w:rPr>
          <w:sz w:val="20"/>
        </w:rPr>
        <w:t xml:space="preserve">dati </w:t>
      </w:r>
      <w:r w:rsidRPr="00190ACB">
        <w:rPr>
          <w:sz w:val="20"/>
        </w:rPr>
        <w:t xml:space="preserve">della </w:t>
      </w:r>
      <w:r w:rsidR="00B36AE8">
        <w:rPr>
          <w:sz w:val="20"/>
        </w:rPr>
        <w:t>f</w:t>
      </w:r>
      <w:r w:rsidRPr="00190ACB">
        <w:rPr>
          <w:sz w:val="20"/>
        </w:rPr>
        <w:t xml:space="preserve">ormazione </w:t>
      </w:r>
      <w:r w:rsidR="00190ACB" w:rsidRPr="00190ACB">
        <w:rPr>
          <w:sz w:val="20"/>
        </w:rPr>
        <w:t xml:space="preserve">erogata in Azienda nel 2017. Nel 2017 si è </w:t>
      </w:r>
      <w:r w:rsidR="00E1024B">
        <w:rPr>
          <w:sz w:val="20"/>
        </w:rPr>
        <w:t xml:space="preserve">inoltre </w:t>
      </w:r>
      <w:r w:rsidR="00190ACB" w:rsidRPr="00190ACB">
        <w:rPr>
          <w:sz w:val="20"/>
        </w:rPr>
        <w:t xml:space="preserve">applicata concretamente, sulla valutazione 2016, la variazione nelle modalità di calcolo della retribuzione variabile di risultato per i dirigenti responsabili di struttura collegata </w:t>
      </w:r>
      <w:r w:rsidR="00E267B3" w:rsidRPr="00190ACB">
        <w:rPr>
          <w:sz w:val="20"/>
        </w:rPr>
        <w:t>ai risultati complessivi dell’Azienda</w:t>
      </w:r>
      <w:r w:rsidR="00284B11" w:rsidRPr="00190ACB">
        <w:rPr>
          <w:sz w:val="20"/>
        </w:rPr>
        <w:t xml:space="preserve">, per </w:t>
      </w:r>
      <w:r w:rsidR="00E267B3" w:rsidRPr="00190ACB">
        <w:rPr>
          <w:sz w:val="20"/>
        </w:rPr>
        <w:t>rendere concreto i</w:t>
      </w:r>
      <w:r w:rsidR="00284B11" w:rsidRPr="00190ACB">
        <w:rPr>
          <w:sz w:val="20"/>
        </w:rPr>
        <w:t>l collegamento</w:t>
      </w:r>
      <w:r w:rsidR="00E267B3" w:rsidRPr="00190ACB">
        <w:rPr>
          <w:sz w:val="20"/>
        </w:rPr>
        <w:t xml:space="preserve"> tra strutture e l’idea del lavoro integrato in team come elemento chiave per il raggiungimento dei risultati.</w:t>
      </w:r>
      <w:r w:rsidR="00190ACB" w:rsidRPr="00190ACB">
        <w:rPr>
          <w:sz w:val="20"/>
        </w:rPr>
        <w:t xml:space="preserve"> La RER ha valutato la Direzione nell’agosto 2017 sui risultati 2016 con un sintetico 90%, ponendola al terzo posto tra le aziende sanitarie regionali.</w:t>
      </w:r>
      <w:r w:rsidR="00B36AE8">
        <w:rPr>
          <w:sz w:val="20"/>
        </w:rPr>
        <w:t xml:space="preserve"> Sono anche ricordati la realizzazione delle selezioni e assegnazioni PO Primary e associate delle professioni sanitarie nei Dipartimenti di produzione e il processo delle Progressioni economiche orizzontali per il comparto.</w:t>
      </w:r>
    </w:p>
    <w:p w:rsidR="00E638DE" w:rsidRPr="005E004E" w:rsidRDefault="00E267B3" w:rsidP="008E37FD">
      <w:pPr>
        <w:jc w:val="both"/>
        <w:rPr>
          <w:sz w:val="20"/>
        </w:rPr>
      </w:pPr>
      <w:r w:rsidRPr="005E004E">
        <w:rPr>
          <w:sz w:val="20"/>
        </w:rPr>
        <w:t xml:space="preserve">Nel capitolo 5 </w:t>
      </w:r>
      <w:r w:rsidR="00A030EE" w:rsidRPr="005E004E">
        <w:rPr>
          <w:sz w:val="20"/>
        </w:rPr>
        <w:t xml:space="preserve">è inserito l’aggiornamento del </w:t>
      </w:r>
      <w:r w:rsidRPr="005E004E">
        <w:rPr>
          <w:sz w:val="20"/>
        </w:rPr>
        <w:t xml:space="preserve">Progetto di sperimentazione della Gestione Unica del NOCSAE </w:t>
      </w:r>
      <w:r w:rsidR="00A030EE" w:rsidRPr="005E004E">
        <w:rPr>
          <w:sz w:val="20"/>
        </w:rPr>
        <w:t xml:space="preserve">con </w:t>
      </w:r>
      <w:r w:rsidR="00E638DE" w:rsidRPr="005E004E">
        <w:rPr>
          <w:sz w:val="20"/>
        </w:rPr>
        <w:t>l’avvio della sperimentazione dal 1/1/2017</w:t>
      </w:r>
      <w:r w:rsidR="00A030EE" w:rsidRPr="005E004E">
        <w:rPr>
          <w:sz w:val="20"/>
        </w:rPr>
        <w:t xml:space="preserve"> e</w:t>
      </w:r>
      <w:r w:rsidR="00E638DE" w:rsidRPr="005E004E">
        <w:rPr>
          <w:sz w:val="20"/>
        </w:rPr>
        <w:t xml:space="preserve"> l’assegnazione temporanea di circa 1250 persone all’AOU.</w:t>
      </w:r>
      <w:r w:rsidR="00691BB1" w:rsidRPr="005E004E">
        <w:rPr>
          <w:sz w:val="20"/>
        </w:rPr>
        <w:t xml:space="preserve"> </w:t>
      </w:r>
      <w:r w:rsidR="00A030EE" w:rsidRPr="005E004E">
        <w:rPr>
          <w:sz w:val="20"/>
        </w:rPr>
        <w:t>Nel corso del 2017 è stato inoltre approvato il Piano di riordino della rete dei servizi dalla CTSS del 6/6/2017 e ne è stata concretamente avviata la realizzazione dei 5 sottoprogetti dei quali si dà conto nel prosieguo del capitolo.</w:t>
      </w:r>
      <w:r w:rsidR="005E004E" w:rsidRPr="005E004E">
        <w:rPr>
          <w:sz w:val="20"/>
        </w:rPr>
        <w:t xml:space="preserve"> A conclusione del capitolo sono riportate alcune informazioni relative alle modalità e risultati del controllo e governo della spesa farmaceutica e </w:t>
      </w:r>
      <w:r w:rsidR="000F52D4">
        <w:rPr>
          <w:sz w:val="20"/>
        </w:rPr>
        <w:t xml:space="preserve">di quella </w:t>
      </w:r>
      <w:r w:rsidR="005E004E" w:rsidRPr="005E004E">
        <w:rPr>
          <w:sz w:val="20"/>
        </w:rPr>
        <w:t xml:space="preserve">per </w:t>
      </w:r>
      <w:r w:rsidR="000F52D4">
        <w:rPr>
          <w:sz w:val="20"/>
        </w:rPr>
        <w:t xml:space="preserve">i </w:t>
      </w:r>
      <w:r w:rsidR="005E004E" w:rsidRPr="005E004E">
        <w:rPr>
          <w:sz w:val="20"/>
        </w:rPr>
        <w:t>dispositivi.</w:t>
      </w:r>
    </w:p>
    <w:p w:rsidR="00691BB1" w:rsidRPr="000F52D4" w:rsidRDefault="00691BB1" w:rsidP="008E37FD">
      <w:pPr>
        <w:jc w:val="both"/>
        <w:rPr>
          <w:sz w:val="20"/>
        </w:rPr>
      </w:pPr>
      <w:r w:rsidRPr="000F52D4">
        <w:rPr>
          <w:sz w:val="20"/>
        </w:rPr>
        <w:t>Il capitolo 6 riporta le</w:t>
      </w:r>
      <w:r w:rsidR="000F52D4" w:rsidRPr="000F52D4">
        <w:rPr>
          <w:sz w:val="20"/>
        </w:rPr>
        <w:t xml:space="preserve"> misurazioni e, quando disponibili, le</w:t>
      </w:r>
      <w:r w:rsidRPr="000F52D4">
        <w:rPr>
          <w:sz w:val="20"/>
        </w:rPr>
        <w:t xml:space="preserve"> valutazioni ottenute dall’Azienda secondo </w:t>
      </w:r>
      <w:r w:rsidR="000F52D4" w:rsidRPr="000F52D4">
        <w:rPr>
          <w:sz w:val="20"/>
        </w:rPr>
        <w:t xml:space="preserve">alcuni </w:t>
      </w:r>
      <w:r w:rsidRPr="000F52D4">
        <w:rPr>
          <w:sz w:val="20"/>
        </w:rPr>
        <w:t xml:space="preserve">strumenti: </w:t>
      </w:r>
      <w:r w:rsidR="000F52D4" w:rsidRPr="000F52D4">
        <w:rPr>
          <w:sz w:val="20"/>
        </w:rPr>
        <w:t xml:space="preserve">l delibera di programmazione 2017 (DGR 830/2017), con un’autovalutazione dell’Azienda in attesa di quella della RER, INSIDER - PdP </w:t>
      </w:r>
      <w:r w:rsidRPr="000F52D4">
        <w:rPr>
          <w:sz w:val="20"/>
        </w:rPr>
        <w:t>della RER</w:t>
      </w:r>
      <w:r w:rsidR="000F52D4" w:rsidRPr="000F52D4">
        <w:rPr>
          <w:sz w:val="20"/>
        </w:rPr>
        <w:t xml:space="preserve"> (che ha integrato il precedente SIVER), la griglia LEA</w:t>
      </w:r>
      <w:r w:rsidRPr="000F52D4">
        <w:rPr>
          <w:sz w:val="20"/>
        </w:rPr>
        <w:t xml:space="preserve">. </w:t>
      </w:r>
      <w:r w:rsidR="000F52D4" w:rsidRPr="000F52D4">
        <w:rPr>
          <w:sz w:val="20"/>
        </w:rPr>
        <w:t xml:space="preserve">Un controllo sui siti Agenas e PNE ha evidenziato che non sono stati forniti dati aggiornati sull’Azienda, pertanto si rimanda alla Relazione della Performance 2016 per queste viste. </w:t>
      </w:r>
    </w:p>
    <w:p w:rsidR="00FF5274" w:rsidRPr="00596201" w:rsidRDefault="00FF5274" w:rsidP="00FF5274">
      <w:pPr>
        <w:spacing w:after="120"/>
        <w:contextualSpacing/>
        <w:jc w:val="both"/>
        <w:rPr>
          <w:rFonts w:eastAsia="Calibri"/>
          <w:sz w:val="20"/>
          <w:lang w:eastAsia="en-US"/>
        </w:rPr>
      </w:pPr>
      <w:r w:rsidRPr="00596201">
        <w:rPr>
          <w:sz w:val="20"/>
        </w:rPr>
        <w:lastRenderedPageBreak/>
        <w:t xml:space="preserve">Per </w:t>
      </w:r>
      <w:r w:rsidR="000F52D4" w:rsidRPr="00596201">
        <w:rPr>
          <w:sz w:val="20"/>
        </w:rPr>
        <w:t>INSIDER</w:t>
      </w:r>
      <w:r w:rsidRPr="00596201">
        <w:rPr>
          <w:sz w:val="20"/>
        </w:rPr>
        <w:t xml:space="preserve">, </w:t>
      </w:r>
      <w:r w:rsidRPr="00596201">
        <w:rPr>
          <w:rFonts w:eastAsia="Calibri"/>
          <w:sz w:val="20"/>
          <w:lang w:eastAsia="en-US"/>
        </w:rPr>
        <w:t xml:space="preserve">il posizionamento dell’Azienda viene valutato secondo le dimensioni dell’Accesso e domanda, dell’Integrazione, degli Esiti (al momento ancora solo come indicatori osservazionali o non aggiustati, quindi non valutati) della Produzione (suddivisa tra Ospedale, Territorio e Prevenzione), Appropriatezza, Qualità, Sicurezza e Rischio Clinico, Organizzazione, Anticorruzione-Trasparenza e Sostenibilità Economico-Finanziaria, con un totale di </w:t>
      </w:r>
      <w:r w:rsidR="00596201" w:rsidRPr="00596201">
        <w:rPr>
          <w:rFonts w:eastAsia="Calibri"/>
          <w:sz w:val="20"/>
          <w:lang w:eastAsia="en-US"/>
        </w:rPr>
        <w:t>74</w:t>
      </w:r>
      <w:r w:rsidRPr="00596201">
        <w:rPr>
          <w:rFonts w:eastAsia="Calibri"/>
          <w:sz w:val="20"/>
          <w:lang w:eastAsia="en-US"/>
        </w:rPr>
        <w:t xml:space="preserve"> indicatori applicabili all’Azienda. </w:t>
      </w:r>
    </w:p>
    <w:p w:rsidR="00FF5274" w:rsidRDefault="00596201" w:rsidP="00FF5274">
      <w:pPr>
        <w:spacing w:after="120"/>
        <w:contextualSpacing/>
        <w:jc w:val="both"/>
        <w:rPr>
          <w:rFonts w:eastAsia="Calibri"/>
          <w:sz w:val="20"/>
          <w:lang w:eastAsia="en-US"/>
        </w:rPr>
      </w:pPr>
      <w:r w:rsidRPr="00596201">
        <w:rPr>
          <w:rFonts w:eastAsia="Calibri"/>
          <w:sz w:val="20"/>
          <w:lang w:eastAsia="en-US"/>
        </w:rPr>
        <w:t>Di questi, 22</w:t>
      </w:r>
      <w:r w:rsidR="00FF5274" w:rsidRPr="00596201">
        <w:rPr>
          <w:rFonts w:eastAsia="Calibri"/>
          <w:sz w:val="20"/>
          <w:lang w:eastAsia="en-US"/>
        </w:rPr>
        <w:t xml:space="preserve"> sono osservazionali </w:t>
      </w:r>
      <w:r w:rsidRPr="00596201">
        <w:rPr>
          <w:rFonts w:eastAsia="Calibri"/>
          <w:sz w:val="20"/>
          <w:lang w:eastAsia="en-US"/>
        </w:rPr>
        <w:t xml:space="preserve">e di ulteriori 16 </w:t>
      </w:r>
      <w:r w:rsidR="00FF5274" w:rsidRPr="00596201">
        <w:rPr>
          <w:rFonts w:eastAsia="Calibri"/>
          <w:sz w:val="20"/>
          <w:lang w:eastAsia="en-US"/>
        </w:rPr>
        <w:t>non ne viene data una valutazione</w:t>
      </w:r>
      <w:r>
        <w:rPr>
          <w:rFonts w:eastAsia="Calibri"/>
          <w:sz w:val="20"/>
          <w:lang w:eastAsia="en-US"/>
        </w:rPr>
        <w:t>, gli altri sono valutati</w:t>
      </w:r>
      <w:r w:rsidR="00FF5274" w:rsidRPr="00596201">
        <w:rPr>
          <w:rFonts w:eastAsia="Calibri"/>
          <w:sz w:val="20"/>
          <w:lang w:eastAsia="en-US"/>
        </w:rPr>
        <w:t>.</w:t>
      </w:r>
      <w:r>
        <w:rPr>
          <w:rFonts w:eastAsia="Calibri"/>
          <w:sz w:val="20"/>
          <w:lang w:eastAsia="en-US"/>
        </w:rPr>
        <w:t xml:space="preserve"> Nel grafico seguente è riportata la sintesi e nel testo del capitolo sono presenti i dettagli</w:t>
      </w:r>
      <w:r w:rsidR="00AA65E9">
        <w:rPr>
          <w:rFonts w:eastAsia="Calibri"/>
          <w:sz w:val="20"/>
          <w:lang w:eastAsia="en-US"/>
        </w:rPr>
        <w:t xml:space="preserve"> per singolo indicatore e alcuni commenti</w:t>
      </w:r>
      <w:r>
        <w:rPr>
          <w:rFonts w:eastAsia="Calibri"/>
          <w:sz w:val="20"/>
          <w:lang w:eastAsia="en-US"/>
        </w:rPr>
        <w:t>.</w:t>
      </w:r>
      <w:r w:rsidR="00FF5274" w:rsidRPr="00596201">
        <w:rPr>
          <w:rFonts w:eastAsia="Calibri"/>
          <w:sz w:val="20"/>
          <w:lang w:eastAsia="en-US"/>
        </w:rPr>
        <w:t xml:space="preserve"> </w:t>
      </w:r>
    </w:p>
    <w:p w:rsidR="00596201" w:rsidRDefault="00596201" w:rsidP="00FF5274">
      <w:pPr>
        <w:spacing w:after="120"/>
        <w:contextualSpacing/>
        <w:jc w:val="both"/>
        <w:rPr>
          <w:rFonts w:eastAsia="Calibri"/>
          <w:sz w:val="20"/>
          <w:lang w:eastAsia="en-US"/>
        </w:rPr>
      </w:pPr>
    </w:p>
    <w:p w:rsidR="00596201" w:rsidRPr="00596201" w:rsidRDefault="00596201" w:rsidP="00596201">
      <w:pPr>
        <w:spacing w:after="120"/>
        <w:contextualSpacing/>
        <w:jc w:val="center"/>
        <w:rPr>
          <w:rFonts w:eastAsia="Calibri"/>
          <w:sz w:val="20"/>
          <w:lang w:eastAsia="en-US"/>
        </w:rPr>
      </w:pPr>
      <w:r>
        <w:rPr>
          <w:noProof/>
          <w:lang w:eastAsia="it-IT" w:bidi="ar-SA"/>
        </w:rPr>
        <w:drawing>
          <wp:inline distT="0" distB="0" distL="0" distR="0" wp14:anchorId="1E9AECF0" wp14:editId="388063F7">
            <wp:extent cx="5000625" cy="2967038"/>
            <wp:effectExtent l="0" t="0" r="9525" b="508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4B11" w:rsidRPr="00366B66" w:rsidRDefault="00284B11" w:rsidP="00FF5274">
      <w:pPr>
        <w:spacing w:after="120"/>
        <w:contextualSpacing/>
        <w:jc w:val="both"/>
        <w:rPr>
          <w:rFonts w:eastAsia="Calibri"/>
          <w:sz w:val="20"/>
          <w:lang w:eastAsia="en-US"/>
        </w:rPr>
      </w:pPr>
    </w:p>
    <w:p w:rsidR="00284B11" w:rsidRPr="00366B66" w:rsidRDefault="00366B66" w:rsidP="00FF5274">
      <w:pPr>
        <w:spacing w:after="120"/>
        <w:contextualSpacing/>
        <w:jc w:val="both"/>
        <w:rPr>
          <w:rFonts w:eastAsia="Calibri"/>
          <w:sz w:val="20"/>
          <w:lang w:eastAsia="en-US"/>
        </w:rPr>
      </w:pPr>
      <w:r w:rsidRPr="00366B66">
        <w:rPr>
          <w:rFonts w:eastAsia="Calibri"/>
          <w:sz w:val="20"/>
          <w:lang w:eastAsia="en-US"/>
        </w:rPr>
        <w:t>A conclusione del capitolo è riportata la griglia degli indicatori LEA per l’Azienda, che esprime un ottimo o buon livello di raggiungimento per tutti gli indicatori considerati</w:t>
      </w:r>
      <w:r>
        <w:rPr>
          <w:rFonts w:eastAsia="Calibri"/>
          <w:sz w:val="20"/>
          <w:lang w:eastAsia="en-US"/>
        </w:rPr>
        <w:t>, con soli due indicatori</w:t>
      </w:r>
      <w:r w:rsidR="00CA6C29">
        <w:rPr>
          <w:rFonts w:eastAsia="Calibri"/>
          <w:sz w:val="20"/>
          <w:lang w:eastAsia="en-US"/>
        </w:rPr>
        <w:t xml:space="preserve"> inferiori alla </w:t>
      </w:r>
      <w:r>
        <w:rPr>
          <w:rFonts w:eastAsia="Calibri"/>
          <w:sz w:val="20"/>
          <w:lang w:eastAsia="en-US"/>
        </w:rPr>
        <w:t>media regionale</w:t>
      </w:r>
      <w:r w:rsidRPr="00366B66">
        <w:rPr>
          <w:rFonts w:eastAsia="Calibri"/>
          <w:sz w:val="20"/>
          <w:lang w:eastAsia="en-US"/>
        </w:rPr>
        <w:t>.</w:t>
      </w:r>
    </w:p>
    <w:p w:rsidR="00FF5274" w:rsidRPr="007A7A82" w:rsidRDefault="00FF5274" w:rsidP="00FF5274">
      <w:pPr>
        <w:spacing w:before="0"/>
        <w:jc w:val="both"/>
        <w:rPr>
          <w:rFonts w:eastAsia="Calibri"/>
          <w:sz w:val="20"/>
          <w:highlight w:val="yellow"/>
          <w:lang w:eastAsia="en-US"/>
        </w:rPr>
      </w:pPr>
    </w:p>
    <w:p w:rsidR="005C5A8C" w:rsidRPr="002D6324" w:rsidRDefault="005C5A8C" w:rsidP="005C5A8C">
      <w:pPr>
        <w:spacing w:after="120"/>
        <w:contextualSpacing/>
        <w:jc w:val="both"/>
        <w:rPr>
          <w:rFonts w:eastAsia="Calibri"/>
          <w:sz w:val="20"/>
          <w:lang w:eastAsia="en-US"/>
        </w:rPr>
      </w:pPr>
      <w:r w:rsidRPr="002D6324">
        <w:rPr>
          <w:rFonts w:eastAsia="Calibri"/>
          <w:sz w:val="20"/>
          <w:lang w:eastAsia="en-US"/>
        </w:rPr>
        <w:t>Il capitolo 7 “La sostenibilità economico-finanziaria” illustra la progressiva riduzione delle risorse economiche disponibili (riduzione della quota capitaria e del fondo di riequilibrio) negli ultimi 3 anni ma anche il rispetto dell’obiettivo del pareggio di bilancio, ottenuto con una forte attenzione alla spesa</w:t>
      </w:r>
      <w:r w:rsidR="00CA6C29" w:rsidRPr="002D6324">
        <w:rPr>
          <w:rFonts w:eastAsia="Calibri"/>
          <w:sz w:val="20"/>
          <w:lang w:eastAsia="en-US"/>
        </w:rPr>
        <w:t>. L</w:t>
      </w:r>
      <w:r w:rsidR="00CA6C29" w:rsidRPr="002D6324">
        <w:rPr>
          <w:sz w:val="20"/>
        </w:rPr>
        <w:t>a progressiva riduzione del Fondo di Riequilibrio complessivamente è stata da 28,3 milioni di € assegnati nel 2014 a 5,1 milioni di € nel 2017. Il perseguimento dell’obiettivo di pareggio di bilancio, nonostante la riduzione del finanziamento totale, è stato possibile grazie ad un rigorosissimo controllo economico e finanziario trasversale di tutte le aree di attività e di spesa, evidenziato dalla tendenziale riduzione fino a sotto la media regionale nel 2016 del costo pro capite senza integrazione AO/AOU/IRCSS (€1.741 vs €1.750)</w:t>
      </w:r>
      <w:r w:rsidRPr="002D6324">
        <w:rPr>
          <w:rFonts w:eastAsia="Calibri"/>
          <w:sz w:val="20"/>
          <w:lang w:eastAsia="en-US"/>
        </w:rPr>
        <w:t>. I costi pro capite (con l’integrazione per AO/AOU/IRCSS) indicano la conferma del posizionamento dell’Azienda al di sotto della media RER e anche un incremento della differenza arrivata a raddoppiare nel 2015, ultimo anno disponibile (-0.22% Anno 2013; -0.38% Anno 2014; -0.70% Anno 2015</w:t>
      </w:r>
      <w:r w:rsidR="002D6324" w:rsidRPr="002D6324">
        <w:rPr>
          <w:rFonts w:eastAsia="Calibri"/>
          <w:sz w:val="20"/>
          <w:lang w:eastAsia="en-US"/>
        </w:rPr>
        <w:t>; -0,92% Anno 2016</w:t>
      </w:r>
      <w:r w:rsidRPr="002D6324">
        <w:rPr>
          <w:rFonts w:eastAsia="Calibri"/>
          <w:sz w:val="20"/>
          <w:lang w:eastAsia="en-US"/>
        </w:rPr>
        <w:t>).</w:t>
      </w:r>
      <w:r w:rsidR="00CA6C29" w:rsidRPr="002D6324">
        <w:rPr>
          <w:rFonts w:eastAsia="Calibri"/>
          <w:sz w:val="20"/>
          <w:lang w:eastAsia="en-US"/>
        </w:rPr>
        <w:t xml:space="preserve"> </w:t>
      </w:r>
      <w:r w:rsidR="00CA6C29" w:rsidRPr="002D6324">
        <w:rPr>
          <w:sz w:val="20"/>
        </w:rPr>
        <w:t>L’analisi dei costi pro capite mostra un contenimento dei costi pro capite per l’Azienda USL di Modena a fronte di un aumento di quelli di integrazione dell’Azienda Ospedaliero-Universitaria.</w:t>
      </w:r>
      <w:r w:rsidR="00146545">
        <w:rPr>
          <w:sz w:val="20"/>
        </w:rPr>
        <w:t xml:space="preserve"> Nel capitolo si forniscono alcuni dati sulle principali voci di spesa,  costo del personale (218,2 mil + € 64 mil per personale in assegnazione temporanea ad AOU)), spesa farmaceutica (in riduzione a 114,9 mil€ da 124 mil €).</w:t>
      </w:r>
    </w:p>
    <w:p w:rsidR="000E53FB" w:rsidRPr="007A7A82" w:rsidRDefault="000E53FB" w:rsidP="00FF5274">
      <w:pPr>
        <w:spacing w:after="120"/>
        <w:contextualSpacing/>
        <w:jc w:val="both"/>
        <w:rPr>
          <w:rFonts w:eastAsia="Calibri"/>
          <w:sz w:val="20"/>
          <w:highlight w:val="yellow"/>
          <w:lang w:eastAsia="en-US"/>
        </w:rPr>
      </w:pPr>
    </w:p>
    <w:p w:rsidR="000E53FB" w:rsidRPr="008E37FD" w:rsidRDefault="00146545" w:rsidP="008E37FD">
      <w:pPr>
        <w:jc w:val="both"/>
        <w:rPr>
          <w:sz w:val="20"/>
        </w:rPr>
      </w:pPr>
      <w:r w:rsidRPr="00322FC3">
        <w:rPr>
          <w:sz w:val="20"/>
        </w:rPr>
        <w:t xml:space="preserve">Per ulteriori informazioni è possibile consultare la </w:t>
      </w:r>
      <w:r w:rsidR="00327560" w:rsidRPr="00322FC3">
        <w:rPr>
          <w:sz w:val="20"/>
        </w:rPr>
        <w:t xml:space="preserve">Relazione </w:t>
      </w:r>
      <w:r w:rsidRPr="00322FC3">
        <w:rPr>
          <w:sz w:val="20"/>
        </w:rPr>
        <w:t xml:space="preserve">al Bilancio del DG, di cui in Allegato si fornisce un estratto relativo al raggiungimento degli obiettivi annuali di programmazione regionale </w:t>
      </w:r>
      <w:r w:rsidR="00322FC3" w:rsidRPr="00322FC3">
        <w:rPr>
          <w:sz w:val="20"/>
        </w:rPr>
        <w:t>2017 (DGR 830/2017</w:t>
      </w:r>
      <w:r w:rsidR="00327560" w:rsidRPr="00322FC3">
        <w:rPr>
          <w:sz w:val="20"/>
        </w:rPr>
        <w:t>) e con la valutazione del Piano Regionale della Prevenzione 2016-18, per l’anno 201</w:t>
      </w:r>
      <w:r w:rsidR="00322FC3" w:rsidRPr="00322FC3">
        <w:rPr>
          <w:sz w:val="20"/>
        </w:rPr>
        <w:t>7</w:t>
      </w:r>
      <w:r w:rsidR="00327560" w:rsidRPr="00322FC3">
        <w:rPr>
          <w:sz w:val="20"/>
        </w:rPr>
        <w:t>, effettuata recentemente dalla RER.</w:t>
      </w:r>
    </w:p>
    <w:p w:rsidR="00E27519" w:rsidRDefault="0003178C">
      <w:pPr>
        <w:suppressAutoHyphens w:val="0"/>
        <w:spacing w:before="0"/>
        <w:rPr>
          <w:rFonts w:ascii="Cambria" w:hAnsi="Cambria" w:cs="Cambria"/>
          <w:b/>
          <w:smallCaps/>
          <w:sz w:val="28"/>
        </w:rPr>
      </w:pPr>
      <w:r>
        <w:rPr>
          <w:sz w:val="28"/>
        </w:rPr>
        <w:br w:type="page"/>
      </w:r>
    </w:p>
    <w:p w:rsidR="00E27519" w:rsidRDefault="00DD4B5B">
      <w:pPr>
        <w:pStyle w:val="Titolo1"/>
        <w:numPr>
          <w:ilvl w:val="0"/>
          <w:numId w:val="0"/>
        </w:numPr>
        <w:jc w:val="left"/>
        <w:rPr>
          <w:sz w:val="28"/>
        </w:rPr>
      </w:pPr>
      <w:bookmarkStart w:id="8" w:name="_Toc518040046"/>
      <w:r>
        <w:rPr>
          <w:sz w:val="28"/>
        </w:rPr>
        <w:lastRenderedPageBreak/>
        <w:t>Le aree strategiche di intervento del piano della performance</w:t>
      </w:r>
      <w:bookmarkEnd w:id="8"/>
      <w:r>
        <w:rPr>
          <w:sz w:val="28"/>
        </w:rPr>
        <w:t xml:space="preserve"> </w:t>
      </w:r>
    </w:p>
    <w:p w:rsidR="00E27519" w:rsidRDefault="0003178C">
      <w:pPr>
        <w:jc w:val="both"/>
        <w:rPr>
          <w:sz w:val="20"/>
        </w:rPr>
      </w:pPr>
      <w:r w:rsidRPr="00EE2DC9">
        <w:rPr>
          <w:sz w:val="20"/>
        </w:rPr>
        <w:t>Nel Piano della Performance 2015-2017 sono state definite dalla Direzione aziendale le aree strategiche prioritarie di intervento, attraverso le quali l’Azienda USL di Modena ha inteso orientare la propria azione e migliorare le proprie performance, in linea con la mission aziendale</w:t>
      </w:r>
      <w:r w:rsidR="00EE2DC9" w:rsidRPr="00EE2DC9">
        <w:rPr>
          <w:sz w:val="20"/>
        </w:rPr>
        <w:t xml:space="preserve"> e con gli obiettivi di mandato e quelli annualmente assegnati dalla programmazione regionale</w:t>
      </w:r>
      <w:r w:rsidRPr="00EE2DC9">
        <w:rPr>
          <w:sz w:val="20"/>
        </w:rPr>
        <w:t>.</w:t>
      </w:r>
      <w:r w:rsidR="00EE2DC9">
        <w:rPr>
          <w:sz w:val="20"/>
        </w:rPr>
        <w:t xml:space="preserve"> Al Piano 2015 – 17 è succeduto il Piano 2016-18 che trova nel presente documento la Relazione all’anno di riferimento 2017.</w:t>
      </w:r>
    </w:p>
    <w:p w:rsidR="00E27519" w:rsidRDefault="0003178C">
      <w:pPr>
        <w:jc w:val="both"/>
        <w:rPr>
          <w:sz w:val="20"/>
        </w:rPr>
      </w:pPr>
      <w:r>
        <w:rPr>
          <w:sz w:val="20"/>
        </w:rPr>
        <w:t xml:space="preserve"> </w:t>
      </w:r>
    </w:p>
    <w:tbl>
      <w:tblPr>
        <w:tblW w:w="10740" w:type="dxa"/>
        <w:jc w:val="center"/>
        <w:tblLayout w:type="fixed"/>
        <w:tblCellMar>
          <w:left w:w="70" w:type="dxa"/>
          <w:right w:w="70" w:type="dxa"/>
        </w:tblCellMar>
        <w:tblLook w:val="04A0" w:firstRow="1" w:lastRow="0" w:firstColumn="1" w:lastColumn="0" w:noHBand="0" w:noVBand="1"/>
      </w:tblPr>
      <w:tblGrid>
        <w:gridCol w:w="366"/>
        <w:gridCol w:w="1188"/>
        <w:gridCol w:w="1498"/>
        <w:gridCol w:w="1051"/>
        <w:gridCol w:w="1271"/>
        <w:gridCol w:w="1005"/>
        <w:gridCol w:w="1168"/>
        <w:gridCol w:w="1114"/>
        <w:gridCol w:w="1052"/>
        <w:gridCol w:w="1027"/>
      </w:tblGrid>
      <w:tr w:rsidR="00E27519">
        <w:trPr>
          <w:trHeight w:val="315"/>
          <w:jc w:val="center"/>
        </w:trPr>
        <w:tc>
          <w:tcPr>
            <w:tcW w:w="366" w:type="dxa"/>
            <w:tcBorders>
              <w:top w:val="single" w:sz="8" w:space="0" w:color="auto"/>
              <w:left w:val="single" w:sz="8" w:space="0" w:color="auto"/>
              <w:bottom w:val="single" w:sz="8" w:space="0" w:color="auto"/>
              <w:right w:val="single" w:sz="8" w:space="0" w:color="auto"/>
            </w:tcBorders>
            <w:shd w:val="thinReverseDiagStripe" w:color="000000" w:fill="DDDDDD"/>
            <w:vAlign w:val="center"/>
          </w:tcPr>
          <w:p w:rsidR="00E27519" w:rsidRDefault="0003178C">
            <w:pPr>
              <w:suppressAutoHyphens w:val="0"/>
              <w:spacing w:before="0"/>
              <w:rPr>
                <w:rFonts w:cs="Times New Roman"/>
                <w:color w:val="000000"/>
                <w:szCs w:val="22"/>
                <w:lang w:eastAsia="it-IT" w:bidi="ar-SA"/>
              </w:rPr>
            </w:pPr>
            <w:r>
              <w:rPr>
                <w:rFonts w:cs="Times New Roman"/>
                <w:color w:val="000000"/>
                <w:szCs w:val="22"/>
                <w:lang w:eastAsia="it-IT" w:bidi="ar-SA"/>
              </w:rPr>
              <w:t> </w:t>
            </w:r>
          </w:p>
        </w:tc>
        <w:tc>
          <w:tcPr>
            <w:tcW w:w="2686" w:type="dxa"/>
            <w:gridSpan w:val="2"/>
            <w:tcBorders>
              <w:top w:val="single" w:sz="8" w:space="0" w:color="auto"/>
              <w:left w:val="nil"/>
              <w:bottom w:val="single" w:sz="8" w:space="0" w:color="auto"/>
              <w:right w:val="single" w:sz="8" w:space="0" w:color="000000"/>
            </w:tcBorders>
            <w:shd w:val="clear" w:color="auto" w:fill="auto"/>
            <w:vAlign w:val="bottom"/>
          </w:tcPr>
          <w:p w:rsidR="00E27519" w:rsidRDefault="0003178C">
            <w:pPr>
              <w:suppressAutoHyphens w:val="0"/>
              <w:spacing w:before="0"/>
              <w:jc w:val="center"/>
              <w:rPr>
                <w:rFonts w:cs="Times New Roman"/>
                <w:b/>
                <w:bCs/>
                <w:color w:val="000000"/>
                <w:sz w:val="18"/>
                <w:szCs w:val="18"/>
                <w:lang w:eastAsia="it-IT" w:bidi="ar-SA"/>
              </w:rPr>
            </w:pPr>
            <w:r>
              <w:rPr>
                <w:rFonts w:cs="Times New Roman"/>
                <w:b/>
                <w:bCs/>
                <w:color w:val="000000"/>
                <w:sz w:val="18"/>
                <w:szCs w:val="18"/>
                <w:lang w:eastAsia="it-IT" w:bidi="ar-SA"/>
              </w:rPr>
              <w:t>Delibera 3/2016 OIV</w:t>
            </w:r>
          </w:p>
        </w:tc>
        <w:tc>
          <w:tcPr>
            <w:tcW w:w="7688" w:type="dxa"/>
            <w:gridSpan w:val="7"/>
            <w:tcBorders>
              <w:top w:val="single" w:sz="8" w:space="0" w:color="auto"/>
              <w:left w:val="nil"/>
              <w:bottom w:val="single" w:sz="8" w:space="0" w:color="auto"/>
              <w:right w:val="single" w:sz="8" w:space="0" w:color="000000"/>
            </w:tcBorders>
            <w:shd w:val="pct10" w:color="4F81BD" w:fill="F8F9FB"/>
            <w:vAlign w:val="center"/>
          </w:tcPr>
          <w:p w:rsidR="00E27519" w:rsidRDefault="0003178C">
            <w:pPr>
              <w:suppressAutoHyphens w:val="0"/>
              <w:spacing w:before="0"/>
              <w:jc w:val="center"/>
              <w:rPr>
                <w:rFonts w:cs="Times New Roman"/>
                <w:b/>
                <w:bCs/>
                <w:color w:val="000000"/>
                <w:szCs w:val="22"/>
                <w:lang w:eastAsia="it-IT" w:bidi="ar-SA"/>
              </w:rPr>
            </w:pPr>
            <w:r>
              <w:rPr>
                <w:rFonts w:cs="Times New Roman"/>
                <w:b/>
                <w:bCs/>
                <w:color w:val="000000"/>
                <w:szCs w:val="22"/>
                <w:lang w:eastAsia="it-IT" w:bidi="ar-SA"/>
              </w:rPr>
              <w:t>Dimensioni della Performance: PP 2015-2017</w:t>
            </w:r>
          </w:p>
        </w:tc>
      </w:tr>
      <w:tr w:rsidR="00E27519">
        <w:trPr>
          <w:trHeight w:val="992"/>
          <w:jc w:val="center"/>
        </w:trPr>
        <w:tc>
          <w:tcPr>
            <w:tcW w:w="366" w:type="dxa"/>
            <w:vMerge w:val="restart"/>
            <w:tcBorders>
              <w:top w:val="nil"/>
              <w:left w:val="single" w:sz="8" w:space="0" w:color="auto"/>
              <w:bottom w:val="single" w:sz="8" w:space="0" w:color="000000"/>
              <w:right w:val="single" w:sz="8" w:space="0" w:color="auto"/>
            </w:tcBorders>
            <w:shd w:val="pct10" w:color="4F81BD" w:fill="F8F9FB"/>
            <w:textDirection w:val="btLr"/>
            <w:vAlign w:val="center"/>
          </w:tcPr>
          <w:p w:rsidR="00E27519" w:rsidRDefault="0003178C">
            <w:pPr>
              <w:suppressAutoHyphens w:val="0"/>
              <w:spacing w:before="0"/>
              <w:jc w:val="center"/>
              <w:rPr>
                <w:rFonts w:cs="Times New Roman"/>
                <w:b/>
                <w:bCs/>
                <w:color w:val="000000"/>
                <w:sz w:val="18"/>
                <w:szCs w:val="22"/>
                <w:lang w:eastAsia="it-IT" w:bidi="ar-SA"/>
              </w:rPr>
            </w:pPr>
            <w:r>
              <w:rPr>
                <w:rFonts w:cs="Times New Roman"/>
                <w:b/>
                <w:bCs/>
                <w:color w:val="000000"/>
                <w:sz w:val="18"/>
                <w:szCs w:val="22"/>
                <w:lang w:eastAsia="it-IT" w:bidi="ar-SA"/>
              </w:rPr>
              <w:t>Albero della Performance secondo delibera 3/OIV</w:t>
            </w:r>
          </w:p>
        </w:tc>
        <w:tc>
          <w:tcPr>
            <w:tcW w:w="118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Dimensione di performance</w:t>
            </w: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Area di performance</w:t>
            </w:r>
          </w:p>
        </w:tc>
        <w:tc>
          <w:tcPr>
            <w:tcW w:w="105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Politiche integrate della promozione e tutela della salute</w:t>
            </w:r>
          </w:p>
        </w:tc>
        <w:tc>
          <w:tcPr>
            <w:tcW w:w="127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Politiche per la semplificazione e l’equità nell’accesso ai servizi</w:t>
            </w:r>
          </w:p>
        </w:tc>
        <w:tc>
          <w:tcPr>
            <w:tcW w:w="1005"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Percorsi clinico assistenziali</w:t>
            </w:r>
          </w:p>
        </w:tc>
        <w:tc>
          <w:tcPr>
            <w:tcW w:w="116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Politiche per la valorizzazione professionale</w:t>
            </w:r>
          </w:p>
        </w:tc>
        <w:tc>
          <w:tcPr>
            <w:tcW w:w="1114"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Performance management</w:t>
            </w:r>
          </w:p>
        </w:tc>
        <w:tc>
          <w:tcPr>
            <w:tcW w:w="1052"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Politiche di controllo, misuraz., valutaz. e rendicontaz. Int. ed est.</w:t>
            </w:r>
          </w:p>
        </w:tc>
        <w:tc>
          <w:tcPr>
            <w:tcW w:w="1027"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Politiche per la sostenibilità</w:t>
            </w:r>
          </w:p>
        </w:tc>
      </w:tr>
      <w:tr w:rsidR="00E27519">
        <w:trPr>
          <w:trHeight w:val="217"/>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val="restart"/>
            <w:tcBorders>
              <w:top w:val="nil"/>
              <w:left w:val="single" w:sz="8" w:space="0" w:color="auto"/>
              <w:bottom w:val="single" w:sz="8" w:space="0" w:color="000000"/>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 xml:space="preserve"> per l'utente</w:t>
            </w: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Accesso e domanda</w:t>
            </w:r>
          </w:p>
        </w:tc>
        <w:tc>
          <w:tcPr>
            <w:tcW w:w="1051"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271"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05"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16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52"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trPr>
          <w:trHeight w:val="181"/>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Integrazione</w:t>
            </w:r>
          </w:p>
        </w:tc>
        <w:tc>
          <w:tcPr>
            <w:tcW w:w="105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05"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16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52"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trPr>
          <w:trHeight w:val="55"/>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Esiti</w:t>
            </w:r>
          </w:p>
        </w:tc>
        <w:tc>
          <w:tcPr>
            <w:tcW w:w="105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trPr>
          <w:trHeight w:val="65"/>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val="restart"/>
            <w:tcBorders>
              <w:top w:val="nil"/>
              <w:left w:val="single" w:sz="8" w:space="0" w:color="auto"/>
              <w:bottom w:val="single" w:sz="8" w:space="0" w:color="000000"/>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dei processi interni</w:t>
            </w: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Produzione</w:t>
            </w:r>
          </w:p>
        </w:tc>
        <w:tc>
          <w:tcPr>
            <w:tcW w:w="1051"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271"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05"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trPr>
          <w:trHeight w:val="171"/>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Appropriatezza, qualità, sicurezza e gestione del rischio clinico</w:t>
            </w:r>
          </w:p>
        </w:tc>
        <w:tc>
          <w:tcPr>
            <w:tcW w:w="105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27"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trPr>
          <w:trHeight w:val="55"/>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Organizzazione</w:t>
            </w:r>
          </w:p>
        </w:tc>
        <w:tc>
          <w:tcPr>
            <w:tcW w:w="105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05"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114"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trPr>
          <w:trHeight w:val="55"/>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Anticorruzione e trasparenza</w:t>
            </w:r>
          </w:p>
        </w:tc>
        <w:tc>
          <w:tcPr>
            <w:tcW w:w="105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114"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trPr>
          <w:trHeight w:val="55"/>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val="restart"/>
            <w:tcBorders>
              <w:top w:val="nil"/>
              <w:left w:val="single" w:sz="8" w:space="0" w:color="auto"/>
              <w:bottom w:val="single" w:sz="8" w:space="0" w:color="000000"/>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di innovazione e di sviluppo</w:t>
            </w: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Ricerca e della didattica</w:t>
            </w:r>
          </w:p>
        </w:tc>
        <w:tc>
          <w:tcPr>
            <w:tcW w:w="1051"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27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27"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trPr>
          <w:trHeight w:val="55"/>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Sviluppo organizzativo</w:t>
            </w:r>
          </w:p>
        </w:tc>
        <w:tc>
          <w:tcPr>
            <w:tcW w:w="105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114"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52"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27"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r>
      <w:tr w:rsidR="00E27519">
        <w:trPr>
          <w:trHeight w:val="424"/>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val="restart"/>
            <w:tcBorders>
              <w:top w:val="nil"/>
              <w:left w:val="single" w:sz="8" w:space="0" w:color="auto"/>
              <w:bottom w:val="single" w:sz="8" w:space="0" w:color="000000"/>
              <w:right w:val="single" w:sz="8" w:space="0" w:color="auto"/>
            </w:tcBorders>
            <w:shd w:val="clear" w:color="auto" w:fill="auto"/>
            <w:vAlign w:val="center"/>
          </w:tcPr>
          <w:p w:rsidR="00E27519" w:rsidRDefault="0003178C">
            <w:pPr>
              <w:suppressAutoHyphens w:val="0"/>
              <w:spacing w:before="0"/>
              <w:jc w:val="center"/>
              <w:rPr>
                <w:rFonts w:cs="Times New Roman"/>
                <w:color w:val="000000"/>
                <w:sz w:val="18"/>
                <w:szCs w:val="18"/>
                <w:lang w:eastAsia="it-IT" w:bidi="ar-SA"/>
              </w:rPr>
            </w:pPr>
            <w:r>
              <w:rPr>
                <w:rFonts w:cs="Times New Roman"/>
                <w:color w:val="000000"/>
                <w:sz w:val="18"/>
                <w:szCs w:val="18"/>
                <w:lang w:eastAsia="it-IT" w:bidi="ar-SA"/>
              </w:rPr>
              <w:t>della sostenibilità</w:t>
            </w: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Economico Finanziaria</w:t>
            </w:r>
          </w:p>
        </w:tc>
        <w:tc>
          <w:tcPr>
            <w:tcW w:w="105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27"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r>
      <w:tr w:rsidR="00E27519">
        <w:trPr>
          <w:trHeight w:val="55"/>
          <w:jc w:val="center"/>
        </w:trPr>
        <w:tc>
          <w:tcPr>
            <w:tcW w:w="366"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b/>
                <w:bCs/>
                <w:color w:val="000000"/>
                <w:szCs w:val="22"/>
                <w:lang w:eastAsia="it-IT" w:bidi="ar-SA"/>
              </w:rPr>
            </w:pPr>
          </w:p>
        </w:tc>
        <w:tc>
          <w:tcPr>
            <w:tcW w:w="1188" w:type="dxa"/>
            <w:vMerge/>
            <w:tcBorders>
              <w:top w:val="nil"/>
              <w:left w:val="single" w:sz="8" w:space="0" w:color="auto"/>
              <w:bottom w:val="single" w:sz="8" w:space="0" w:color="000000"/>
              <w:right w:val="single" w:sz="8" w:space="0" w:color="auto"/>
            </w:tcBorders>
            <w:vAlign w:val="center"/>
          </w:tcPr>
          <w:p w:rsidR="00E27519" w:rsidRDefault="00E27519">
            <w:pPr>
              <w:suppressAutoHyphens w:val="0"/>
              <w:spacing w:before="0"/>
              <w:rPr>
                <w:rFonts w:cs="Times New Roman"/>
                <w:color w:val="000000"/>
                <w:sz w:val="18"/>
                <w:szCs w:val="18"/>
                <w:lang w:eastAsia="it-IT" w:bidi="ar-SA"/>
              </w:rPr>
            </w:pPr>
          </w:p>
        </w:tc>
        <w:tc>
          <w:tcPr>
            <w:tcW w:w="149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18"/>
                <w:szCs w:val="18"/>
                <w:lang w:eastAsia="it-IT" w:bidi="ar-SA"/>
              </w:rPr>
            </w:pPr>
            <w:r>
              <w:rPr>
                <w:rFonts w:cs="Times New Roman"/>
                <w:color w:val="000000"/>
                <w:sz w:val="18"/>
                <w:szCs w:val="18"/>
                <w:lang w:eastAsia="it-IT" w:bidi="ar-SA"/>
              </w:rPr>
              <w:t>Investimenti</w:t>
            </w:r>
          </w:p>
        </w:tc>
        <w:tc>
          <w:tcPr>
            <w:tcW w:w="105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271"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005"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68" w:type="dxa"/>
            <w:tcBorders>
              <w:top w:val="nil"/>
              <w:left w:val="nil"/>
              <w:bottom w:val="single" w:sz="8" w:space="0" w:color="auto"/>
              <w:right w:val="single" w:sz="8" w:space="0" w:color="auto"/>
            </w:tcBorders>
            <w:shd w:val="clear" w:color="auto" w:fill="auto"/>
            <w:vAlign w:val="center"/>
          </w:tcPr>
          <w:p w:rsidR="00E27519" w:rsidRDefault="0003178C">
            <w:pPr>
              <w:suppressAutoHyphens w:val="0"/>
              <w:spacing w:before="0"/>
              <w:rPr>
                <w:rFonts w:cs="Times New Roman"/>
                <w:color w:val="000000"/>
                <w:sz w:val="28"/>
                <w:szCs w:val="28"/>
                <w:lang w:eastAsia="it-IT" w:bidi="ar-SA"/>
              </w:rPr>
            </w:pPr>
            <w:r>
              <w:rPr>
                <w:rFonts w:cs="Times New Roman"/>
                <w:color w:val="000000"/>
                <w:sz w:val="28"/>
                <w:szCs w:val="28"/>
                <w:lang w:eastAsia="it-IT" w:bidi="ar-SA"/>
              </w:rPr>
              <w:t> </w:t>
            </w:r>
          </w:p>
        </w:tc>
        <w:tc>
          <w:tcPr>
            <w:tcW w:w="1114"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52"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c>
          <w:tcPr>
            <w:tcW w:w="1027" w:type="dxa"/>
            <w:tcBorders>
              <w:top w:val="nil"/>
              <w:left w:val="nil"/>
              <w:bottom w:val="single" w:sz="8" w:space="0" w:color="auto"/>
              <w:right w:val="single" w:sz="8" w:space="0" w:color="auto"/>
            </w:tcBorders>
            <w:shd w:val="thinHorzCross" w:color="95B3D7" w:fill="D7E1EE"/>
            <w:vAlign w:val="center"/>
          </w:tcPr>
          <w:p w:rsidR="00E27519" w:rsidRDefault="0003178C">
            <w:pPr>
              <w:suppressAutoHyphens w:val="0"/>
              <w:spacing w:before="0"/>
              <w:jc w:val="center"/>
              <w:rPr>
                <w:rFonts w:cs="Times New Roman"/>
                <w:b/>
                <w:bCs/>
                <w:color w:val="000000"/>
                <w:sz w:val="28"/>
                <w:szCs w:val="28"/>
                <w:lang w:eastAsia="it-IT" w:bidi="ar-SA"/>
              </w:rPr>
            </w:pPr>
            <w:r>
              <w:rPr>
                <w:rFonts w:cs="Times New Roman"/>
                <w:b/>
                <w:bCs/>
                <w:color w:val="000000"/>
                <w:sz w:val="28"/>
                <w:szCs w:val="28"/>
                <w:lang w:eastAsia="it-IT" w:bidi="ar-SA"/>
              </w:rPr>
              <w:t>⃝</w:t>
            </w:r>
          </w:p>
        </w:tc>
      </w:tr>
    </w:tbl>
    <w:p w:rsidR="00E27519" w:rsidRPr="00EE2DC9" w:rsidRDefault="0003178C">
      <w:pPr>
        <w:jc w:val="both"/>
        <w:rPr>
          <w:sz w:val="20"/>
        </w:rPr>
      </w:pPr>
      <w:r w:rsidRPr="00EE2DC9">
        <w:rPr>
          <w:sz w:val="20"/>
        </w:rPr>
        <w:t>Nel Piano 2015-17 l’Azienda ha indicato le aree strategiche di governo</w:t>
      </w:r>
      <w:r w:rsidR="00EE2DC9" w:rsidRPr="00EE2DC9">
        <w:rPr>
          <w:sz w:val="20"/>
        </w:rPr>
        <w:t xml:space="preserve"> dell’azienda e di riferimento per la misurazione e valutazione della performance aziendale</w:t>
      </w:r>
      <w:r w:rsidRPr="00EE2DC9">
        <w:rPr>
          <w:sz w:val="20"/>
        </w:rPr>
        <w:t xml:space="preserve">. Gli obiettivi specifici </w:t>
      </w:r>
      <w:r w:rsidR="00EE2DC9">
        <w:rPr>
          <w:sz w:val="20"/>
        </w:rPr>
        <w:t xml:space="preserve">di programmazione annuale </w:t>
      </w:r>
      <w:r w:rsidRPr="00EE2DC9">
        <w:rPr>
          <w:sz w:val="20"/>
        </w:rPr>
        <w:t xml:space="preserve">sono stati assegnati, per </w:t>
      </w:r>
      <w:r w:rsidR="00EE2DC9">
        <w:rPr>
          <w:sz w:val="20"/>
        </w:rPr>
        <w:t xml:space="preserve">il mandato di questa </w:t>
      </w:r>
      <w:r w:rsidR="00EE2DC9" w:rsidRPr="00EE2DC9">
        <w:rPr>
          <w:sz w:val="20"/>
        </w:rPr>
        <w:t>Direzione, ne</w:t>
      </w:r>
      <w:r w:rsidRPr="00EE2DC9">
        <w:rPr>
          <w:sz w:val="20"/>
        </w:rPr>
        <w:t>l 2015</w:t>
      </w:r>
      <w:r w:rsidR="00EE2DC9" w:rsidRPr="00EE2DC9">
        <w:rPr>
          <w:sz w:val="20"/>
        </w:rPr>
        <w:t xml:space="preserve"> con la </w:t>
      </w:r>
      <w:r w:rsidRPr="00EE2DC9">
        <w:rPr>
          <w:sz w:val="20"/>
        </w:rPr>
        <w:t>DGR 901 del 13/7/2015</w:t>
      </w:r>
      <w:r w:rsidR="00EE2DC9">
        <w:rPr>
          <w:sz w:val="20"/>
        </w:rPr>
        <w:t>, nel 2016 con la DGR 1003 del 28/6/</w:t>
      </w:r>
      <w:r w:rsidR="00EE2DC9" w:rsidRPr="00EE2DC9">
        <w:rPr>
          <w:sz w:val="20"/>
        </w:rPr>
        <w:t>2016, nel 2017 con la DGR 830/2017</w:t>
      </w:r>
      <w:r w:rsidRPr="00EE2DC9">
        <w:rPr>
          <w:sz w:val="20"/>
        </w:rPr>
        <w:t>.</w:t>
      </w:r>
    </w:p>
    <w:p w:rsidR="00E27519" w:rsidRPr="007A7A82" w:rsidRDefault="00E27519">
      <w:pPr>
        <w:pStyle w:val="Corpodeltesto"/>
        <w:jc w:val="both"/>
        <w:rPr>
          <w:sz w:val="20"/>
          <w:highlight w:val="yellow"/>
        </w:rPr>
      </w:pPr>
    </w:p>
    <w:p w:rsidR="00EE2DC9" w:rsidRPr="00EE2DC9" w:rsidRDefault="005037DC">
      <w:pPr>
        <w:pStyle w:val="Corpodeltesto"/>
        <w:jc w:val="both"/>
        <w:rPr>
          <w:sz w:val="20"/>
        </w:rPr>
      </w:pPr>
      <w:r>
        <w:rPr>
          <w:sz w:val="20"/>
        </w:rPr>
        <w:lastRenderedPageBreak/>
        <w:t xml:space="preserve">Successivamente al </w:t>
      </w:r>
      <w:r w:rsidR="0003178C" w:rsidRPr="00EE2DC9">
        <w:rPr>
          <w:sz w:val="20"/>
        </w:rPr>
        <w:t xml:space="preserve">Piano della Performance 2016-18 (Delibera 128 del 30/6/2016), l’Azienda USL di Modena ha formalizzato le attività per il raggiungimento degli obiettivi della programmazione regionale 2016 (DGR 1003/2016), </w:t>
      </w:r>
      <w:r>
        <w:rPr>
          <w:sz w:val="20"/>
        </w:rPr>
        <w:t xml:space="preserve">e 2017 </w:t>
      </w:r>
      <w:r w:rsidR="0003178C" w:rsidRPr="00EE2DC9">
        <w:rPr>
          <w:sz w:val="20"/>
        </w:rPr>
        <w:t>oltre a quelli già assegnati nel processo di negoziazione del Budget 201</w:t>
      </w:r>
      <w:r>
        <w:rPr>
          <w:sz w:val="20"/>
        </w:rPr>
        <w:t>7</w:t>
      </w:r>
      <w:r w:rsidR="0003178C" w:rsidRPr="00EE2DC9">
        <w:rPr>
          <w:sz w:val="20"/>
        </w:rPr>
        <w:t xml:space="preserve"> (concluso per la sua prima fase </w:t>
      </w:r>
      <w:r>
        <w:rPr>
          <w:sz w:val="20"/>
        </w:rPr>
        <w:t xml:space="preserve">di assegnazione </w:t>
      </w:r>
      <w:r w:rsidR="0003178C" w:rsidRPr="00EE2DC9">
        <w:rPr>
          <w:sz w:val="20"/>
        </w:rPr>
        <w:t>nel mese di dicembre 201</w:t>
      </w:r>
      <w:r>
        <w:rPr>
          <w:sz w:val="20"/>
        </w:rPr>
        <w:t>6</w:t>
      </w:r>
      <w:r w:rsidR="0003178C" w:rsidRPr="00EE2DC9">
        <w:rPr>
          <w:sz w:val="20"/>
        </w:rPr>
        <w:t>)  derivanti dagli obiettivi di mandato e di programmazione 201</w:t>
      </w:r>
      <w:r>
        <w:rPr>
          <w:sz w:val="20"/>
        </w:rPr>
        <w:t>6</w:t>
      </w:r>
      <w:r w:rsidR="0003178C" w:rsidRPr="00EE2DC9">
        <w:rPr>
          <w:sz w:val="20"/>
        </w:rPr>
        <w:t>. Nel Piano sono stati confermati gli obiettivi di attenzione alla sostenibilità economica, al controllo dei tempi di attesa che dal 2016 riguarda anche gli interven</w:t>
      </w:r>
      <w:r w:rsidR="00EE2DC9" w:rsidRPr="00EE2DC9">
        <w:rPr>
          <w:sz w:val="20"/>
        </w:rPr>
        <w:t xml:space="preserve">ti chirurgici programmati, al proseguimento della </w:t>
      </w:r>
      <w:r w:rsidR="0003178C" w:rsidRPr="00EE2DC9">
        <w:rPr>
          <w:sz w:val="20"/>
        </w:rPr>
        <w:t xml:space="preserve">creazione di strutture quali Case della Salute, </w:t>
      </w:r>
      <w:r>
        <w:rPr>
          <w:sz w:val="20"/>
        </w:rPr>
        <w:t xml:space="preserve">l’attenzione alla creazione degli </w:t>
      </w:r>
      <w:r w:rsidR="0003178C" w:rsidRPr="00EE2DC9">
        <w:rPr>
          <w:sz w:val="20"/>
        </w:rPr>
        <w:t>Hospice</w:t>
      </w:r>
      <w:r w:rsidR="00EE2DC9" w:rsidRPr="00EE2DC9">
        <w:rPr>
          <w:sz w:val="20"/>
        </w:rPr>
        <w:t xml:space="preserve"> </w:t>
      </w:r>
      <w:r>
        <w:rPr>
          <w:sz w:val="20"/>
        </w:rPr>
        <w:t xml:space="preserve">ancora assenti nel territorio provinciale </w:t>
      </w:r>
      <w:r w:rsidR="00EE2DC9" w:rsidRPr="00EE2DC9">
        <w:rPr>
          <w:sz w:val="20"/>
        </w:rPr>
        <w:t>e all’arricchimento dei servizi che sono erogati in queste strutture e in generale in prossimità dei cittadini</w:t>
      </w:r>
      <w:r w:rsidR="0003178C" w:rsidRPr="00EE2DC9">
        <w:rPr>
          <w:sz w:val="20"/>
        </w:rPr>
        <w:t xml:space="preserve">, alla continuità assistenziale e ai pazienti fragili e cronici, al rispetto di  parametri quantitativi e di requisiti guida per il riordino organizzativo ospedaliero, alla conferma degli obiettivi di promozione della salute, e di prevenzione, primo fra tutti quello della implementazione del piano vaccinale. </w:t>
      </w:r>
    </w:p>
    <w:p w:rsidR="00EE2DC9" w:rsidRPr="00EE2DC9" w:rsidRDefault="00EE2DC9">
      <w:pPr>
        <w:pStyle w:val="Corpodeltesto"/>
        <w:jc w:val="both"/>
        <w:rPr>
          <w:sz w:val="20"/>
        </w:rPr>
      </w:pPr>
      <w:r w:rsidRPr="00EE2DC9">
        <w:rPr>
          <w:sz w:val="20"/>
        </w:rPr>
        <w:t>Nel 2017</w:t>
      </w:r>
      <w:r w:rsidR="0003178C" w:rsidRPr="00EE2DC9">
        <w:rPr>
          <w:sz w:val="20"/>
        </w:rPr>
        <w:t xml:space="preserve"> </w:t>
      </w:r>
      <w:r w:rsidRPr="00EE2DC9">
        <w:rPr>
          <w:sz w:val="20"/>
        </w:rPr>
        <w:t>a tali linee di intervento si sono aggiunti due temi di particolare rilevanza per l’</w:t>
      </w:r>
      <w:r w:rsidR="005037DC">
        <w:rPr>
          <w:sz w:val="20"/>
        </w:rPr>
        <w:t>A</w:t>
      </w:r>
      <w:r w:rsidRPr="00EE2DC9">
        <w:rPr>
          <w:sz w:val="20"/>
        </w:rPr>
        <w:t>zienda:</w:t>
      </w:r>
    </w:p>
    <w:p w:rsidR="00EE2DC9" w:rsidRPr="00EE2DC9" w:rsidRDefault="00EE2DC9" w:rsidP="00EE2DC9">
      <w:pPr>
        <w:pStyle w:val="Corpodeltesto"/>
        <w:numPr>
          <w:ilvl w:val="0"/>
          <w:numId w:val="36"/>
        </w:numPr>
        <w:jc w:val="both"/>
        <w:rPr>
          <w:sz w:val="20"/>
        </w:rPr>
      </w:pPr>
      <w:r w:rsidRPr="00EE2DC9">
        <w:rPr>
          <w:sz w:val="20"/>
        </w:rPr>
        <w:t>L’avvio effettivo del Progetto di gestione unica dell’Ospedale NOCSAE da parte dell’AOU di Modena, con il 1/1/2017;</w:t>
      </w:r>
    </w:p>
    <w:p w:rsidR="00EE2DC9" w:rsidRPr="00EE2DC9" w:rsidRDefault="00EE2DC9" w:rsidP="00EE2DC9">
      <w:pPr>
        <w:pStyle w:val="Corpodeltesto"/>
        <w:numPr>
          <w:ilvl w:val="0"/>
          <w:numId w:val="36"/>
        </w:numPr>
        <w:jc w:val="both"/>
        <w:rPr>
          <w:sz w:val="20"/>
        </w:rPr>
      </w:pPr>
      <w:r w:rsidRPr="00EE2DC9">
        <w:rPr>
          <w:sz w:val="20"/>
        </w:rPr>
        <w:t xml:space="preserve">L’avvio del Piano di Riordino della rete dei servizi ospedalieri, a seguito dell’approvazione della relativa delibera da parte della CTSS il 6/6/2017 </w:t>
      </w:r>
    </w:p>
    <w:p w:rsidR="00E27519" w:rsidRPr="005037DC" w:rsidRDefault="0003178C">
      <w:pPr>
        <w:pStyle w:val="Corpodeltesto"/>
        <w:jc w:val="both"/>
        <w:rPr>
          <w:sz w:val="20"/>
        </w:rPr>
      </w:pPr>
      <w:r w:rsidRPr="005037DC">
        <w:rPr>
          <w:sz w:val="20"/>
        </w:rPr>
        <w:t xml:space="preserve">Direttrici strategiche  specifiche, definite dal Piano della Performance 2016-2018, </w:t>
      </w:r>
      <w:r w:rsidR="005037DC" w:rsidRPr="005037DC">
        <w:rPr>
          <w:sz w:val="20"/>
        </w:rPr>
        <w:t xml:space="preserve">che l’Azienda mantiene al centro della sua strategia </w:t>
      </w:r>
      <w:r w:rsidRPr="005037DC">
        <w:rPr>
          <w:sz w:val="20"/>
        </w:rPr>
        <w:t xml:space="preserve">sono: </w:t>
      </w:r>
    </w:p>
    <w:p w:rsidR="00E27519" w:rsidRPr="005037DC" w:rsidRDefault="0003178C">
      <w:pPr>
        <w:pStyle w:val="Corpodeltesto"/>
        <w:numPr>
          <w:ilvl w:val="0"/>
          <w:numId w:val="2"/>
        </w:numPr>
        <w:jc w:val="both"/>
        <w:rPr>
          <w:sz w:val="20"/>
        </w:rPr>
      </w:pPr>
      <w:r w:rsidRPr="005037DC">
        <w:rPr>
          <w:sz w:val="20"/>
        </w:rPr>
        <w:t>L’equità dei servizi erogati, intesa come la ricerca di condizioni di uguale risposta a uguali bisogni e contrasto alle condizioni che determinano diseguaglianze nell’accesso e nella fruizione dei servizi per la salute;</w:t>
      </w:r>
    </w:p>
    <w:p w:rsidR="00E27519" w:rsidRPr="005037DC" w:rsidRDefault="0003178C">
      <w:pPr>
        <w:pStyle w:val="Corpodeltesto"/>
        <w:numPr>
          <w:ilvl w:val="0"/>
          <w:numId w:val="2"/>
        </w:numPr>
        <w:jc w:val="both"/>
        <w:rPr>
          <w:sz w:val="20"/>
        </w:rPr>
      </w:pPr>
      <w:r w:rsidRPr="005037DC">
        <w:rPr>
          <w:sz w:val="20"/>
        </w:rPr>
        <w:t>le dimensioni dell’esperienza che il cittadino vive durante tutti i momenti di contatto con i servizi erogati dall’Azienda;</w:t>
      </w:r>
    </w:p>
    <w:p w:rsidR="00E27519" w:rsidRPr="005037DC" w:rsidRDefault="005037DC">
      <w:pPr>
        <w:pStyle w:val="Corpodeltesto"/>
        <w:numPr>
          <w:ilvl w:val="0"/>
          <w:numId w:val="2"/>
        </w:numPr>
        <w:jc w:val="both"/>
        <w:rPr>
          <w:sz w:val="20"/>
        </w:rPr>
      </w:pPr>
      <w:r>
        <w:rPr>
          <w:sz w:val="20"/>
        </w:rPr>
        <w:t>l’ascolto attivo e l’interazione con i cittadini</w:t>
      </w:r>
      <w:r w:rsidR="0003178C" w:rsidRPr="005037DC">
        <w:rPr>
          <w:sz w:val="20"/>
        </w:rPr>
        <w:t>, sia singoli che associati</w:t>
      </w:r>
      <w:r>
        <w:rPr>
          <w:sz w:val="20"/>
        </w:rPr>
        <w:t>,</w:t>
      </w:r>
      <w:r w:rsidR="0003178C" w:rsidRPr="005037DC">
        <w:rPr>
          <w:sz w:val="20"/>
        </w:rPr>
        <w:t xml:space="preserve"> per la co-progettazione dei processi e dei percorsi in funzione dei bisogni e delle esperienze d’uso</w:t>
      </w:r>
    </w:p>
    <w:p w:rsidR="00E27519" w:rsidRPr="005037DC" w:rsidRDefault="0003178C" w:rsidP="0003178C">
      <w:pPr>
        <w:pStyle w:val="Corpodeltesto"/>
        <w:numPr>
          <w:ilvl w:val="0"/>
          <w:numId w:val="2"/>
        </w:numPr>
        <w:jc w:val="both"/>
        <w:rPr>
          <w:sz w:val="20"/>
        </w:rPr>
      </w:pPr>
      <w:r w:rsidRPr="005037DC">
        <w:rPr>
          <w:sz w:val="20"/>
        </w:rPr>
        <w:t>la  promozione della prossimità, della proporzionalit</w:t>
      </w:r>
      <w:r w:rsidR="00D947E6" w:rsidRPr="005037DC">
        <w:rPr>
          <w:sz w:val="20"/>
        </w:rPr>
        <w:t xml:space="preserve">à </w:t>
      </w:r>
      <w:r w:rsidRPr="005037DC">
        <w:rPr>
          <w:sz w:val="20"/>
        </w:rPr>
        <w:t xml:space="preserve">e dell’appropriatezza nell’offerta dei servizi </w:t>
      </w:r>
    </w:p>
    <w:p w:rsidR="00E27519" w:rsidRPr="005037DC" w:rsidRDefault="0003178C">
      <w:pPr>
        <w:pStyle w:val="Corpodeltesto"/>
        <w:numPr>
          <w:ilvl w:val="0"/>
          <w:numId w:val="2"/>
        </w:numPr>
        <w:jc w:val="both"/>
        <w:rPr>
          <w:sz w:val="20"/>
        </w:rPr>
      </w:pPr>
      <w:r w:rsidRPr="005037DC">
        <w:rPr>
          <w:sz w:val="20"/>
        </w:rPr>
        <w:t>il contributo alla costruzione di capitale sociale verso tutti i portatori di interesse, basata sulla fiducia che l’azione az</w:t>
      </w:r>
      <w:r w:rsidR="005037DC">
        <w:rPr>
          <w:sz w:val="20"/>
        </w:rPr>
        <w:t>iendale è in grado di suscitare.</w:t>
      </w:r>
    </w:p>
    <w:p w:rsidR="00827360" w:rsidRDefault="00827360">
      <w:pPr>
        <w:pStyle w:val="Corpodeltesto"/>
        <w:jc w:val="both"/>
        <w:rPr>
          <w:sz w:val="20"/>
          <w:highlight w:val="yellow"/>
        </w:rPr>
      </w:pPr>
    </w:p>
    <w:p w:rsidR="00E27519" w:rsidRPr="003E1FD6" w:rsidRDefault="0003178C">
      <w:pPr>
        <w:pStyle w:val="Corpodeltesto"/>
        <w:jc w:val="both"/>
        <w:rPr>
          <w:sz w:val="20"/>
        </w:rPr>
      </w:pPr>
      <w:r w:rsidRPr="003E1FD6">
        <w:rPr>
          <w:sz w:val="20"/>
        </w:rPr>
        <w:t>Il Piano della Performance 2016-2018 elenca</w:t>
      </w:r>
      <w:r w:rsidR="003E1FD6" w:rsidRPr="003E1FD6">
        <w:rPr>
          <w:sz w:val="20"/>
        </w:rPr>
        <w:t>va</w:t>
      </w:r>
      <w:r w:rsidRPr="003E1FD6">
        <w:rPr>
          <w:sz w:val="20"/>
        </w:rPr>
        <w:t xml:space="preserve"> alcuni progetti strategici per il triennio di riferimento, definiti sulla base degli obiettivi di mandato assegnati al Direttore Generale e all’azienda USL di Modena e dall’analisi delle indicazioni al miglioramento rilevate dalla valutazione degli indicatori di performance. I progetti individuati, declinati in diverse linee di intervento, sono rappresentati nel diagramma che segue, che ne sintetizza lo stato di avanzamento a fi</w:t>
      </w:r>
      <w:r w:rsidR="003E1FD6" w:rsidRPr="003E1FD6">
        <w:rPr>
          <w:sz w:val="20"/>
        </w:rPr>
        <w:t>ne 2017. Nella Relazione per alcuni di essi sono esplicitate ulteriori informazioni.</w:t>
      </w:r>
    </w:p>
    <w:p w:rsidR="003C5E89" w:rsidRPr="007A7A82" w:rsidRDefault="003C5E89">
      <w:pPr>
        <w:pStyle w:val="Corpodeltesto"/>
        <w:jc w:val="both"/>
        <w:rPr>
          <w:sz w:val="20"/>
          <w:highlight w:val="yellow"/>
        </w:rPr>
      </w:pPr>
    </w:p>
    <w:p w:rsidR="00E27519" w:rsidRPr="003C5E89" w:rsidRDefault="0003178C">
      <w:pPr>
        <w:pStyle w:val="Corpodeltesto"/>
        <w:numPr>
          <w:ilvl w:val="0"/>
          <w:numId w:val="3"/>
        </w:numPr>
        <w:spacing w:after="0"/>
        <w:jc w:val="both"/>
        <w:rPr>
          <w:sz w:val="20"/>
        </w:rPr>
      </w:pPr>
      <w:r w:rsidRPr="003C5E89">
        <w:rPr>
          <w:sz w:val="20"/>
        </w:rPr>
        <w:t xml:space="preserve">Progetto di gestione unificata NOCSAE-AOU </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90%</w:t>
            </w:r>
          </w:p>
        </w:tc>
        <w:tc>
          <w:tcPr>
            <w:tcW w:w="1080" w:type="dxa"/>
            <w:tcBorders>
              <w:top w:val="dashed" w:sz="8" w:space="0" w:color="auto"/>
              <w:left w:val="nil"/>
              <w:bottom w:val="dashed" w:sz="8" w:space="0" w:color="auto"/>
              <w:right w:val="dashed" w:sz="8" w:space="0" w:color="auto"/>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r>
    </w:tbl>
    <w:p w:rsidR="00E27519" w:rsidRPr="00EA304C" w:rsidRDefault="00E27519">
      <w:pPr>
        <w:pStyle w:val="Corpodeltesto"/>
        <w:spacing w:after="0"/>
        <w:jc w:val="both"/>
        <w:rPr>
          <w:sz w:val="20"/>
        </w:rPr>
      </w:pPr>
    </w:p>
    <w:p w:rsidR="00E27519" w:rsidRDefault="0003178C" w:rsidP="006B47F8">
      <w:pPr>
        <w:pStyle w:val="Corpodeltesto"/>
        <w:numPr>
          <w:ilvl w:val="0"/>
          <w:numId w:val="3"/>
        </w:numPr>
        <w:spacing w:after="0"/>
        <w:jc w:val="both"/>
        <w:rPr>
          <w:sz w:val="20"/>
        </w:rPr>
      </w:pPr>
      <w:r w:rsidRPr="003C5E89">
        <w:rPr>
          <w:sz w:val="20"/>
        </w:rPr>
        <w:t xml:space="preserve">Miglioramento e controllo dei tempi di attesa </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100%</w:t>
            </w:r>
          </w:p>
        </w:tc>
      </w:tr>
    </w:tbl>
    <w:p w:rsidR="003C5E89" w:rsidRPr="003C5E89" w:rsidRDefault="003C5E89" w:rsidP="003C5E89">
      <w:pPr>
        <w:pStyle w:val="Corpodeltesto"/>
        <w:spacing w:after="0"/>
        <w:ind w:left="1065"/>
        <w:jc w:val="both"/>
        <w:rPr>
          <w:sz w:val="20"/>
        </w:rPr>
      </w:pPr>
    </w:p>
    <w:p w:rsidR="00E27519" w:rsidRPr="00EA304C" w:rsidRDefault="0003178C">
      <w:pPr>
        <w:pStyle w:val="Corpodeltesto"/>
        <w:numPr>
          <w:ilvl w:val="0"/>
          <w:numId w:val="3"/>
        </w:numPr>
        <w:spacing w:after="0"/>
        <w:jc w:val="both"/>
        <w:rPr>
          <w:sz w:val="20"/>
        </w:rPr>
      </w:pPr>
      <w:r w:rsidRPr="00EA304C">
        <w:rPr>
          <w:sz w:val="20"/>
        </w:rPr>
        <w:t>Politiche aziendali in u</w:t>
      </w:r>
      <w:r w:rsidR="003C5E89">
        <w:rPr>
          <w:sz w:val="20"/>
        </w:rPr>
        <w:t>n’ottica di Patient Centricity</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70%</w:t>
            </w:r>
          </w:p>
        </w:tc>
        <w:tc>
          <w:tcPr>
            <w:tcW w:w="1080" w:type="dxa"/>
            <w:tcBorders>
              <w:top w:val="dashed" w:sz="8" w:space="0" w:color="auto"/>
              <w:left w:val="nil"/>
              <w:bottom w:val="dashed" w:sz="8" w:space="0" w:color="auto"/>
              <w:right w:val="nil"/>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dashed" w:sz="8" w:space="0" w:color="auto"/>
              <w:left w:val="nil"/>
              <w:bottom w:val="dashed" w:sz="8" w:space="0" w:color="auto"/>
              <w:right w:val="nil"/>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dashed" w:sz="8" w:space="0" w:color="auto"/>
              <w:left w:val="nil"/>
              <w:bottom w:val="dashed" w:sz="8" w:space="0" w:color="auto"/>
              <w:right w:val="dashed" w:sz="8" w:space="0" w:color="auto"/>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r>
    </w:tbl>
    <w:p w:rsidR="00E27519" w:rsidRPr="00EA304C" w:rsidRDefault="00E27519">
      <w:pPr>
        <w:pStyle w:val="Corpodeltesto"/>
        <w:spacing w:after="0"/>
        <w:jc w:val="both"/>
        <w:rPr>
          <w:sz w:val="20"/>
        </w:rPr>
      </w:pPr>
    </w:p>
    <w:p w:rsidR="00797CFB" w:rsidRDefault="00797CFB" w:rsidP="00797CFB">
      <w:pPr>
        <w:pStyle w:val="Corpodeltesto"/>
        <w:spacing w:after="0"/>
        <w:ind w:left="1065"/>
        <w:jc w:val="both"/>
        <w:rPr>
          <w:sz w:val="20"/>
        </w:rPr>
      </w:pPr>
    </w:p>
    <w:p w:rsidR="00E27519" w:rsidRPr="00EA304C" w:rsidRDefault="0003178C">
      <w:pPr>
        <w:pStyle w:val="Corpodeltesto"/>
        <w:numPr>
          <w:ilvl w:val="0"/>
          <w:numId w:val="3"/>
        </w:numPr>
        <w:spacing w:after="0"/>
        <w:jc w:val="both"/>
        <w:rPr>
          <w:sz w:val="20"/>
        </w:rPr>
      </w:pPr>
      <w:r w:rsidRPr="00EA304C">
        <w:rPr>
          <w:sz w:val="20"/>
        </w:rPr>
        <w:t>Attivazione rete provinciale su bassa/media comples</w:t>
      </w:r>
      <w:r w:rsidR="003C5E89">
        <w:rPr>
          <w:sz w:val="20"/>
        </w:rPr>
        <w:t>sità per la chirurgia generale</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80%</w:t>
            </w:r>
          </w:p>
        </w:tc>
        <w:tc>
          <w:tcPr>
            <w:tcW w:w="1080" w:type="dxa"/>
            <w:tcBorders>
              <w:top w:val="dashed" w:sz="8" w:space="0" w:color="auto"/>
              <w:left w:val="nil"/>
              <w:bottom w:val="dashed" w:sz="8" w:space="0" w:color="auto"/>
              <w:right w:val="nil"/>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dashed" w:sz="8" w:space="0" w:color="auto"/>
              <w:left w:val="nil"/>
              <w:bottom w:val="dashed" w:sz="8" w:space="0" w:color="auto"/>
              <w:right w:val="dashed" w:sz="8" w:space="0" w:color="auto"/>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r>
    </w:tbl>
    <w:p w:rsidR="00E27519" w:rsidRPr="00EA304C" w:rsidRDefault="00E27519">
      <w:pPr>
        <w:pStyle w:val="Corpodeltesto"/>
        <w:spacing w:after="0"/>
        <w:jc w:val="both"/>
        <w:rPr>
          <w:sz w:val="20"/>
        </w:rPr>
      </w:pPr>
    </w:p>
    <w:p w:rsidR="00E27519" w:rsidRPr="00EA304C" w:rsidRDefault="0003178C">
      <w:pPr>
        <w:pStyle w:val="Corpodeltesto"/>
        <w:numPr>
          <w:ilvl w:val="0"/>
          <w:numId w:val="3"/>
        </w:numPr>
        <w:spacing w:after="0"/>
        <w:jc w:val="both"/>
        <w:rPr>
          <w:sz w:val="20"/>
        </w:rPr>
      </w:pPr>
      <w:r w:rsidRPr="00EA304C">
        <w:rPr>
          <w:sz w:val="20"/>
        </w:rPr>
        <w:t>PAC Certificazione di Bilancio</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100%</w:t>
            </w:r>
          </w:p>
        </w:tc>
      </w:tr>
    </w:tbl>
    <w:p w:rsidR="00E27519" w:rsidRPr="00EA304C" w:rsidRDefault="00E27519">
      <w:pPr>
        <w:pStyle w:val="Corpodeltesto"/>
        <w:spacing w:after="0"/>
        <w:jc w:val="both"/>
        <w:rPr>
          <w:sz w:val="20"/>
        </w:rPr>
      </w:pPr>
    </w:p>
    <w:p w:rsidR="00E27519" w:rsidRPr="00EA304C" w:rsidRDefault="0003178C">
      <w:pPr>
        <w:pStyle w:val="Corpodeltesto"/>
        <w:numPr>
          <w:ilvl w:val="0"/>
          <w:numId w:val="3"/>
        </w:numPr>
        <w:spacing w:after="0"/>
        <w:jc w:val="both"/>
        <w:rPr>
          <w:sz w:val="20"/>
        </w:rPr>
      </w:pPr>
      <w:r w:rsidRPr="00EA304C">
        <w:rPr>
          <w:sz w:val="20"/>
        </w:rPr>
        <w:t xml:space="preserve">Miglioramento dei sistemi di rendicontazione interna ed esterna </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80%</w:t>
            </w:r>
          </w:p>
        </w:tc>
        <w:tc>
          <w:tcPr>
            <w:tcW w:w="1080" w:type="dxa"/>
            <w:tcBorders>
              <w:top w:val="dashed" w:sz="8" w:space="0" w:color="auto"/>
              <w:left w:val="nil"/>
              <w:bottom w:val="dashed" w:sz="8" w:space="0" w:color="auto"/>
              <w:right w:val="nil"/>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dashed" w:sz="8" w:space="0" w:color="auto"/>
              <w:left w:val="nil"/>
              <w:bottom w:val="dashed" w:sz="8" w:space="0" w:color="auto"/>
              <w:right w:val="dashed" w:sz="8" w:space="0" w:color="auto"/>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r>
    </w:tbl>
    <w:p w:rsidR="00E27519" w:rsidRPr="00EA304C" w:rsidRDefault="00E27519">
      <w:pPr>
        <w:pStyle w:val="Corpodeltesto"/>
        <w:spacing w:after="0"/>
        <w:ind w:left="360"/>
        <w:jc w:val="both"/>
        <w:rPr>
          <w:sz w:val="20"/>
        </w:rPr>
      </w:pPr>
    </w:p>
    <w:p w:rsidR="00E27519" w:rsidRPr="00EA304C" w:rsidRDefault="003C5E89">
      <w:pPr>
        <w:pStyle w:val="Corpodeltesto"/>
        <w:numPr>
          <w:ilvl w:val="0"/>
          <w:numId w:val="3"/>
        </w:numPr>
        <w:spacing w:after="0"/>
        <w:jc w:val="both"/>
        <w:rPr>
          <w:sz w:val="20"/>
        </w:rPr>
      </w:pPr>
      <w:r>
        <w:rPr>
          <w:sz w:val="20"/>
        </w:rPr>
        <w:t>Semplificazione dell’accesso</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80%</w:t>
            </w:r>
          </w:p>
        </w:tc>
        <w:tc>
          <w:tcPr>
            <w:tcW w:w="1080" w:type="dxa"/>
            <w:tcBorders>
              <w:top w:val="dashed" w:sz="8" w:space="0" w:color="auto"/>
              <w:left w:val="nil"/>
              <w:bottom w:val="dashed" w:sz="8" w:space="0" w:color="auto"/>
              <w:right w:val="nil"/>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dashed" w:sz="8" w:space="0" w:color="auto"/>
              <w:left w:val="nil"/>
              <w:bottom w:val="dashed" w:sz="8" w:space="0" w:color="auto"/>
              <w:right w:val="dashed" w:sz="8" w:space="0" w:color="auto"/>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r>
    </w:tbl>
    <w:p w:rsidR="00E27519" w:rsidRPr="00EA304C" w:rsidRDefault="00E27519">
      <w:pPr>
        <w:pStyle w:val="Corpodeltesto"/>
        <w:spacing w:after="0"/>
        <w:jc w:val="both"/>
        <w:rPr>
          <w:sz w:val="20"/>
        </w:rPr>
      </w:pPr>
    </w:p>
    <w:p w:rsidR="00E27519" w:rsidRPr="00EA304C" w:rsidRDefault="0003178C">
      <w:pPr>
        <w:pStyle w:val="Corpodeltesto"/>
        <w:numPr>
          <w:ilvl w:val="0"/>
          <w:numId w:val="3"/>
        </w:numPr>
        <w:spacing w:after="0"/>
        <w:jc w:val="both"/>
        <w:rPr>
          <w:sz w:val="20"/>
        </w:rPr>
      </w:pPr>
      <w:r w:rsidRPr="00EA304C">
        <w:rPr>
          <w:sz w:val="20"/>
        </w:rPr>
        <w:t xml:space="preserve">Costruzione del capitale sociale </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70%</w:t>
            </w:r>
          </w:p>
        </w:tc>
        <w:tc>
          <w:tcPr>
            <w:tcW w:w="1080" w:type="dxa"/>
            <w:tcBorders>
              <w:top w:val="dashed" w:sz="8" w:space="0" w:color="auto"/>
              <w:left w:val="nil"/>
              <w:bottom w:val="dashed" w:sz="8" w:space="0" w:color="auto"/>
              <w:right w:val="nil"/>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dashed" w:sz="8" w:space="0" w:color="auto"/>
              <w:left w:val="nil"/>
              <w:bottom w:val="dashed" w:sz="8" w:space="0" w:color="auto"/>
              <w:right w:val="nil"/>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dashed" w:sz="8" w:space="0" w:color="auto"/>
              <w:left w:val="nil"/>
              <w:bottom w:val="dashed" w:sz="8" w:space="0" w:color="auto"/>
              <w:right w:val="dashed" w:sz="8" w:space="0" w:color="auto"/>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r>
    </w:tbl>
    <w:p w:rsidR="00E27519" w:rsidRPr="00EA304C" w:rsidRDefault="00E27519">
      <w:pPr>
        <w:pStyle w:val="Corpodeltesto"/>
        <w:spacing w:after="0"/>
        <w:jc w:val="both"/>
        <w:rPr>
          <w:sz w:val="20"/>
        </w:rPr>
      </w:pPr>
    </w:p>
    <w:p w:rsidR="00E27519" w:rsidRPr="00EA304C" w:rsidRDefault="0003178C">
      <w:pPr>
        <w:pStyle w:val="Corpodeltesto"/>
        <w:numPr>
          <w:ilvl w:val="0"/>
          <w:numId w:val="3"/>
        </w:numPr>
        <w:spacing w:after="0"/>
        <w:jc w:val="both"/>
        <w:rPr>
          <w:sz w:val="20"/>
        </w:rPr>
      </w:pPr>
      <w:r w:rsidRPr="00EA304C">
        <w:rPr>
          <w:sz w:val="20"/>
        </w:rPr>
        <w:t>Modalità di ascolto attivo e interazione</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90%</w:t>
            </w:r>
          </w:p>
        </w:tc>
        <w:tc>
          <w:tcPr>
            <w:tcW w:w="1080" w:type="dxa"/>
            <w:tcBorders>
              <w:top w:val="dashed" w:sz="8" w:space="0" w:color="auto"/>
              <w:left w:val="nil"/>
              <w:bottom w:val="dashed" w:sz="8" w:space="0" w:color="auto"/>
              <w:right w:val="dashed" w:sz="8" w:space="0" w:color="auto"/>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r>
    </w:tbl>
    <w:p w:rsidR="00E27519" w:rsidRPr="00EA304C" w:rsidRDefault="00E27519">
      <w:pPr>
        <w:pStyle w:val="Corpodeltesto"/>
        <w:spacing w:after="0"/>
        <w:jc w:val="both"/>
        <w:rPr>
          <w:sz w:val="20"/>
        </w:rPr>
      </w:pPr>
    </w:p>
    <w:p w:rsidR="00E27519" w:rsidRPr="00EA304C" w:rsidRDefault="0003178C">
      <w:pPr>
        <w:pStyle w:val="Corpodeltesto"/>
        <w:numPr>
          <w:ilvl w:val="0"/>
          <w:numId w:val="3"/>
        </w:numPr>
        <w:spacing w:after="0"/>
        <w:jc w:val="both"/>
        <w:rPr>
          <w:sz w:val="20"/>
        </w:rPr>
      </w:pPr>
      <w:r w:rsidRPr="00EA304C">
        <w:rPr>
          <w:sz w:val="20"/>
        </w:rPr>
        <w:t xml:space="preserve">Politiche e strumenti di equità </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80%</w:t>
            </w:r>
          </w:p>
        </w:tc>
        <w:tc>
          <w:tcPr>
            <w:tcW w:w="1080" w:type="dxa"/>
            <w:tcBorders>
              <w:top w:val="dashed" w:sz="8" w:space="0" w:color="auto"/>
              <w:left w:val="nil"/>
              <w:bottom w:val="dashed" w:sz="8" w:space="0" w:color="auto"/>
              <w:right w:val="nil"/>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dashed" w:sz="8" w:space="0" w:color="auto"/>
              <w:left w:val="nil"/>
              <w:bottom w:val="dashed" w:sz="8" w:space="0" w:color="auto"/>
              <w:right w:val="dashed" w:sz="8" w:space="0" w:color="auto"/>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r>
    </w:tbl>
    <w:p w:rsidR="00E27519" w:rsidRPr="00EA304C" w:rsidRDefault="00E27519">
      <w:pPr>
        <w:pStyle w:val="Corpodeltesto"/>
        <w:spacing w:after="0"/>
        <w:jc w:val="both"/>
        <w:rPr>
          <w:sz w:val="20"/>
        </w:rPr>
      </w:pPr>
    </w:p>
    <w:p w:rsidR="00E27519" w:rsidRPr="00EA304C" w:rsidRDefault="0003178C">
      <w:pPr>
        <w:pStyle w:val="Corpodeltesto"/>
        <w:numPr>
          <w:ilvl w:val="0"/>
          <w:numId w:val="3"/>
        </w:numPr>
        <w:spacing w:after="0"/>
        <w:jc w:val="both"/>
        <w:rPr>
          <w:sz w:val="20"/>
        </w:rPr>
      </w:pPr>
      <w:r w:rsidRPr="00EA304C">
        <w:rPr>
          <w:sz w:val="20"/>
        </w:rPr>
        <w:t>Progetto Accreditamento</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100%</w:t>
            </w:r>
          </w:p>
        </w:tc>
      </w:tr>
    </w:tbl>
    <w:p w:rsidR="00E27519" w:rsidRPr="00EA304C" w:rsidRDefault="00E27519">
      <w:pPr>
        <w:pStyle w:val="Corpodeltesto"/>
        <w:spacing w:after="0"/>
        <w:jc w:val="both"/>
        <w:rPr>
          <w:sz w:val="20"/>
        </w:rPr>
      </w:pPr>
    </w:p>
    <w:p w:rsidR="00E27519" w:rsidRPr="00EA304C" w:rsidRDefault="0003178C">
      <w:pPr>
        <w:pStyle w:val="Corpodeltesto"/>
        <w:numPr>
          <w:ilvl w:val="0"/>
          <w:numId w:val="3"/>
        </w:numPr>
        <w:spacing w:after="0"/>
        <w:jc w:val="both"/>
        <w:rPr>
          <w:sz w:val="20"/>
        </w:rPr>
      </w:pPr>
      <w:r w:rsidRPr="00EA304C">
        <w:rPr>
          <w:sz w:val="20"/>
        </w:rPr>
        <w:t>Proc</w:t>
      </w:r>
      <w:r w:rsidR="00FD5FEA">
        <w:rPr>
          <w:sz w:val="20"/>
        </w:rPr>
        <w:t>essi di gestione risorse umane</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C5E89" w:rsidRPr="003C5E89" w:rsidTr="003C5E89">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rsidR="003C5E89" w:rsidRPr="003C5E89" w:rsidRDefault="003C5E89" w:rsidP="003C5E89">
            <w:pPr>
              <w:suppressAutoHyphens w:val="0"/>
              <w:spacing w:before="0" w:after="0" w:line="240" w:lineRule="auto"/>
              <w:jc w:val="right"/>
              <w:rPr>
                <w:rFonts w:cs="Arial"/>
                <w:color w:val="FFFFFF"/>
                <w:szCs w:val="22"/>
                <w:lang w:eastAsia="it-IT" w:bidi="ar-SA"/>
              </w:rPr>
            </w:pPr>
            <w:r w:rsidRPr="003C5E89">
              <w:rPr>
                <w:rFonts w:cs="Arial"/>
                <w:color w:val="FFFFFF"/>
                <w:szCs w:val="22"/>
                <w:lang w:eastAsia="it-IT" w:bidi="ar-SA"/>
              </w:rPr>
              <w:t>80%</w:t>
            </w:r>
          </w:p>
        </w:tc>
        <w:tc>
          <w:tcPr>
            <w:tcW w:w="1080" w:type="dxa"/>
            <w:tcBorders>
              <w:top w:val="dashed" w:sz="8" w:space="0" w:color="auto"/>
              <w:left w:val="nil"/>
              <w:bottom w:val="dashed" w:sz="8" w:space="0" w:color="auto"/>
              <w:right w:val="nil"/>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c>
          <w:tcPr>
            <w:tcW w:w="1080" w:type="dxa"/>
            <w:tcBorders>
              <w:top w:val="dashed" w:sz="8" w:space="0" w:color="auto"/>
              <w:left w:val="nil"/>
              <w:bottom w:val="dashed" w:sz="8" w:space="0" w:color="auto"/>
              <w:right w:val="dashed" w:sz="8" w:space="0" w:color="auto"/>
            </w:tcBorders>
            <w:shd w:val="clear" w:color="auto" w:fill="auto"/>
            <w:vAlign w:val="center"/>
            <w:hideMark/>
          </w:tcPr>
          <w:p w:rsidR="003C5E89" w:rsidRPr="003C5E89" w:rsidRDefault="003C5E89" w:rsidP="003C5E89">
            <w:pPr>
              <w:suppressAutoHyphens w:val="0"/>
              <w:spacing w:before="0" w:after="0" w:line="240" w:lineRule="auto"/>
              <w:rPr>
                <w:rFonts w:cs="Arial"/>
                <w:color w:val="000000"/>
                <w:szCs w:val="22"/>
                <w:lang w:eastAsia="it-IT" w:bidi="ar-SA"/>
              </w:rPr>
            </w:pPr>
            <w:r w:rsidRPr="003C5E89">
              <w:rPr>
                <w:rFonts w:cs="Arial"/>
                <w:color w:val="000000"/>
                <w:szCs w:val="22"/>
                <w:lang w:eastAsia="it-IT" w:bidi="ar-SA"/>
              </w:rPr>
              <w:t> </w:t>
            </w:r>
          </w:p>
        </w:tc>
      </w:tr>
    </w:tbl>
    <w:p w:rsidR="00E27519" w:rsidRPr="007A7A82" w:rsidRDefault="00E27519">
      <w:pPr>
        <w:pStyle w:val="Corpodeltesto"/>
        <w:jc w:val="both"/>
        <w:rPr>
          <w:sz w:val="20"/>
          <w:highlight w:val="yellow"/>
        </w:rPr>
      </w:pPr>
    </w:p>
    <w:p w:rsidR="00E47379" w:rsidRDefault="00E47379">
      <w:pPr>
        <w:pStyle w:val="Corpodeltesto"/>
        <w:spacing w:before="120" w:after="0"/>
        <w:jc w:val="both"/>
        <w:rPr>
          <w:sz w:val="20"/>
        </w:rPr>
      </w:pPr>
      <w:r>
        <w:rPr>
          <w:sz w:val="20"/>
        </w:rPr>
        <w:t>Ad integrazione di questo elenco, nel corso del 2017 si è aggiunto il Piano di Riordino della r</w:t>
      </w:r>
      <w:r w:rsidR="003E1FD6">
        <w:rPr>
          <w:sz w:val="20"/>
        </w:rPr>
        <w:t>ete dei servizi (CTSS 6/6/2017), il cui stato di avanzamento al 31/12/2017 può essere sintetizzato dalla linea seguente:</w:t>
      </w:r>
    </w:p>
    <w:p w:rsidR="003E1FD6" w:rsidRDefault="003E1FD6" w:rsidP="003E1FD6">
      <w:pPr>
        <w:pStyle w:val="Corpodeltesto"/>
        <w:numPr>
          <w:ilvl w:val="0"/>
          <w:numId w:val="3"/>
        </w:numPr>
        <w:spacing w:before="120" w:after="0"/>
        <w:jc w:val="both"/>
        <w:rPr>
          <w:sz w:val="20"/>
        </w:rPr>
      </w:pPr>
      <w:r>
        <w:rPr>
          <w:sz w:val="20"/>
        </w:rPr>
        <w:t>Piano di riordino rete dei servizi (CTSS)</w:t>
      </w:r>
    </w:p>
    <w:tbl>
      <w:tblPr>
        <w:tblW w:w="10800" w:type="dxa"/>
        <w:tblInd w:w="-10" w:type="dxa"/>
        <w:tblCellMar>
          <w:left w:w="70" w:type="dxa"/>
          <w:right w:w="70" w:type="dxa"/>
        </w:tblCellMar>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3E1FD6" w:rsidRPr="003E1FD6" w:rsidTr="003E1FD6">
        <w:trPr>
          <w:trHeight w:val="315"/>
        </w:trPr>
        <w:tc>
          <w:tcPr>
            <w:tcW w:w="1080" w:type="dxa"/>
            <w:tcBorders>
              <w:top w:val="single" w:sz="8" w:space="0" w:color="auto"/>
              <w:left w:val="single" w:sz="8" w:space="0" w:color="auto"/>
              <w:bottom w:val="single" w:sz="8" w:space="0" w:color="auto"/>
              <w:right w:val="nil"/>
            </w:tcBorders>
            <w:shd w:val="clear" w:color="000000" w:fill="00B050"/>
            <w:vAlign w:val="center"/>
            <w:hideMark/>
          </w:tcPr>
          <w:p w:rsidR="003E1FD6" w:rsidRPr="003E1FD6" w:rsidRDefault="003E1FD6" w:rsidP="003E1FD6">
            <w:pPr>
              <w:suppressAutoHyphens w:val="0"/>
              <w:spacing w:before="0" w:after="0" w:line="240" w:lineRule="auto"/>
              <w:rPr>
                <w:rFonts w:cs="Arial"/>
                <w:color w:val="000000"/>
                <w:szCs w:val="22"/>
                <w:lang w:eastAsia="it-IT" w:bidi="ar-SA"/>
              </w:rPr>
            </w:pPr>
            <w:r w:rsidRPr="003E1FD6">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E1FD6" w:rsidRPr="003E1FD6" w:rsidRDefault="003E1FD6" w:rsidP="003E1FD6">
            <w:pPr>
              <w:suppressAutoHyphens w:val="0"/>
              <w:spacing w:before="0" w:after="0" w:line="240" w:lineRule="auto"/>
              <w:rPr>
                <w:rFonts w:cs="Arial"/>
                <w:color w:val="000000"/>
                <w:szCs w:val="22"/>
                <w:lang w:eastAsia="it-IT" w:bidi="ar-SA"/>
              </w:rPr>
            </w:pPr>
            <w:r w:rsidRPr="003E1FD6">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E1FD6" w:rsidRPr="003E1FD6" w:rsidRDefault="003E1FD6" w:rsidP="003E1FD6">
            <w:pPr>
              <w:suppressAutoHyphens w:val="0"/>
              <w:spacing w:before="0" w:after="0" w:line="240" w:lineRule="auto"/>
              <w:rPr>
                <w:rFonts w:cs="Arial"/>
                <w:color w:val="000000"/>
                <w:szCs w:val="22"/>
                <w:lang w:eastAsia="it-IT" w:bidi="ar-SA"/>
              </w:rPr>
            </w:pPr>
            <w:r w:rsidRPr="003E1FD6">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E1FD6" w:rsidRPr="003E1FD6" w:rsidRDefault="003E1FD6" w:rsidP="003E1FD6">
            <w:pPr>
              <w:suppressAutoHyphens w:val="0"/>
              <w:spacing w:before="0" w:after="0" w:line="240" w:lineRule="auto"/>
              <w:rPr>
                <w:rFonts w:cs="Arial"/>
                <w:color w:val="000000"/>
                <w:szCs w:val="22"/>
                <w:lang w:eastAsia="it-IT" w:bidi="ar-SA"/>
              </w:rPr>
            </w:pPr>
            <w:r w:rsidRPr="003E1FD6">
              <w:rPr>
                <w:rFonts w:cs="Arial"/>
                <w:color w:val="000000"/>
                <w:szCs w:val="22"/>
                <w:lang w:eastAsia="it-IT" w:bidi="ar-SA"/>
              </w:rPr>
              <w:t> </w:t>
            </w:r>
          </w:p>
        </w:tc>
        <w:tc>
          <w:tcPr>
            <w:tcW w:w="1080" w:type="dxa"/>
            <w:tcBorders>
              <w:top w:val="single" w:sz="8" w:space="0" w:color="auto"/>
              <w:left w:val="nil"/>
              <w:bottom w:val="single" w:sz="8" w:space="0" w:color="auto"/>
              <w:right w:val="nil"/>
            </w:tcBorders>
            <w:shd w:val="clear" w:color="000000" w:fill="00B050"/>
            <w:vAlign w:val="center"/>
            <w:hideMark/>
          </w:tcPr>
          <w:p w:rsidR="003E1FD6" w:rsidRPr="003E1FD6" w:rsidRDefault="003E1FD6" w:rsidP="003E1FD6">
            <w:pPr>
              <w:suppressAutoHyphens w:val="0"/>
              <w:spacing w:before="0" w:after="0" w:line="240" w:lineRule="auto"/>
              <w:jc w:val="right"/>
              <w:rPr>
                <w:rFonts w:cs="Arial"/>
                <w:color w:val="FFFFFF"/>
                <w:szCs w:val="22"/>
                <w:lang w:eastAsia="it-IT" w:bidi="ar-SA"/>
              </w:rPr>
            </w:pPr>
            <w:r w:rsidRPr="003E1FD6">
              <w:rPr>
                <w:rFonts w:cs="Arial"/>
                <w:color w:val="FFFFFF"/>
                <w:szCs w:val="22"/>
                <w:lang w:eastAsia="it-IT" w:bidi="ar-SA"/>
              </w:rPr>
              <w:t>50%</w:t>
            </w:r>
          </w:p>
        </w:tc>
        <w:tc>
          <w:tcPr>
            <w:tcW w:w="1080" w:type="dxa"/>
            <w:tcBorders>
              <w:top w:val="dashed" w:sz="8" w:space="0" w:color="auto"/>
              <w:left w:val="nil"/>
              <w:bottom w:val="dashed" w:sz="8" w:space="0" w:color="auto"/>
              <w:right w:val="nil"/>
            </w:tcBorders>
            <w:shd w:val="clear" w:color="auto" w:fill="auto"/>
            <w:vAlign w:val="center"/>
            <w:hideMark/>
          </w:tcPr>
          <w:p w:rsidR="003E1FD6" w:rsidRPr="003E1FD6" w:rsidRDefault="003E1FD6" w:rsidP="003E1FD6">
            <w:pPr>
              <w:suppressAutoHyphens w:val="0"/>
              <w:spacing w:before="0" w:after="0" w:line="240" w:lineRule="auto"/>
              <w:rPr>
                <w:rFonts w:cs="Arial"/>
                <w:color w:val="000000"/>
                <w:szCs w:val="22"/>
                <w:lang w:eastAsia="it-IT" w:bidi="ar-SA"/>
              </w:rPr>
            </w:pPr>
            <w:r w:rsidRPr="003E1FD6">
              <w:rPr>
                <w:rFonts w:cs="Arial"/>
                <w:color w:val="000000"/>
                <w:szCs w:val="22"/>
                <w:lang w:eastAsia="it-IT" w:bidi="ar-SA"/>
              </w:rPr>
              <w:t> </w:t>
            </w:r>
          </w:p>
        </w:tc>
        <w:tc>
          <w:tcPr>
            <w:tcW w:w="1080" w:type="dxa"/>
            <w:tcBorders>
              <w:top w:val="dashed" w:sz="8" w:space="0" w:color="auto"/>
              <w:left w:val="nil"/>
              <w:bottom w:val="dashed" w:sz="8" w:space="0" w:color="auto"/>
              <w:right w:val="nil"/>
            </w:tcBorders>
            <w:shd w:val="clear" w:color="auto" w:fill="auto"/>
            <w:vAlign w:val="center"/>
            <w:hideMark/>
          </w:tcPr>
          <w:p w:rsidR="003E1FD6" w:rsidRPr="003E1FD6" w:rsidRDefault="003E1FD6" w:rsidP="003E1FD6">
            <w:pPr>
              <w:suppressAutoHyphens w:val="0"/>
              <w:spacing w:before="0" w:after="0" w:line="240" w:lineRule="auto"/>
              <w:rPr>
                <w:rFonts w:cs="Arial"/>
                <w:color w:val="000000"/>
                <w:szCs w:val="22"/>
                <w:lang w:eastAsia="it-IT" w:bidi="ar-SA"/>
              </w:rPr>
            </w:pPr>
            <w:r w:rsidRPr="003E1FD6">
              <w:rPr>
                <w:rFonts w:cs="Arial"/>
                <w:color w:val="000000"/>
                <w:szCs w:val="22"/>
                <w:lang w:eastAsia="it-IT" w:bidi="ar-SA"/>
              </w:rPr>
              <w:t> </w:t>
            </w:r>
          </w:p>
        </w:tc>
        <w:tc>
          <w:tcPr>
            <w:tcW w:w="1080" w:type="dxa"/>
            <w:tcBorders>
              <w:top w:val="dashed" w:sz="8" w:space="0" w:color="auto"/>
              <w:left w:val="nil"/>
              <w:bottom w:val="dashed" w:sz="8" w:space="0" w:color="auto"/>
              <w:right w:val="nil"/>
            </w:tcBorders>
            <w:shd w:val="clear" w:color="auto" w:fill="auto"/>
            <w:vAlign w:val="center"/>
            <w:hideMark/>
          </w:tcPr>
          <w:p w:rsidR="003E1FD6" w:rsidRPr="003E1FD6" w:rsidRDefault="003E1FD6" w:rsidP="003E1FD6">
            <w:pPr>
              <w:suppressAutoHyphens w:val="0"/>
              <w:spacing w:before="0" w:after="0" w:line="240" w:lineRule="auto"/>
              <w:rPr>
                <w:rFonts w:cs="Arial"/>
                <w:color w:val="000000"/>
                <w:szCs w:val="22"/>
                <w:lang w:eastAsia="it-IT" w:bidi="ar-SA"/>
              </w:rPr>
            </w:pPr>
            <w:r w:rsidRPr="003E1FD6">
              <w:rPr>
                <w:rFonts w:cs="Arial"/>
                <w:color w:val="000000"/>
                <w:szCs w:val="22"/>
                <w:lang w:eastAsia="it-IT" w:bidi="ar-SA"/>
              </w:rPr>
              <w:t> </w:t>
            </w:r>
          </w:p>
        </w:tc>
        <w:tc>
          <w:tcPr>
            <w:tcW w:w="1080" w:type="dxa"/>
            <w:tcBorders>
              <w:top w:val="dashed" w:sz="8" w:space="0" w:color="auto"/>
              <w:left w:val="nil"/>
              <w:bottom w:val="dashed" w:sz="8" w:space="0" w:color="auto"/>
              <w:right w:val="nil"/>
            </w:tcBorders>
            <w:shd w:val="clear" w:color="auto" w:fill="auto"/>
            <w:vAlign w:val="center"/>
            <w:hideMark/>
          </w:tcPr>
          <w:p w:rsidR="003E1FD6" w:rsidRPr="003E1FD6" w:rsidRDefault="003E1FD6" w:rsidP="003E1FD6">
            <w:pPr>
              <w:suppressAutoHyphens w:val="0"/>
              <w:spacing w:before="0" w:after="0" w:line="240" w:lineRule="auto"/>
              <w:rPr>
                <w:rFonts w:cs="Arial"/>
                <w:color w:val="000000"/>
                <w:szCs w:val="22"/>
                <w:lang w:eastAsia="it-IT" w:bidi="ar-SA"/>
              </w:rPr>
            </w:pPr>
            <w:r w:rsidRPr="003E1FD6">
              <w:rPr>
                <w:rFonts w:cs="Arial"/>
                <w:color w:val="000000"/>
                <w:szCs w:val="22"/>
                <w:lang w:eastAsia="it-IT" w:bidi="ar-SA"/>
              </w:rPr>
              <w:t> </w:t>
            </w:r>
          </w:p>
        </w:tc>
        <w:tc>
          <w:tcPr>
            <w:tcW w:w="1080" w:type="dxa"/>
            <w:tcBorders>
              <w:top w:val="dashed" w:sz="8" w:space="0" w:color="auto"/>
              <w:left w:val="nil"/>
              <w:bottom w:val="dashed" w:sz="8" w:space="0" w:color="auto"/>
              <w:right w:val="dashed" w:sz="8" w:space="0" w:color="auto"/>
            </w:tcBorders>
            <w:shd w:val="clear" w:color="auto" w:fill="auto"/>
            <w:vAlign w:val="center"/>
            <w:hideMark/>
          </w:tcPr>
          <w:p w:rsidR="003E1FD6" w:rsidRPr="003E1FD6" w:rsidRDefault="003E1FD6" w:rsidP="003E1FD6">
            <w:pPr>
              <w:suppressAutoHyphens w:val="0"/>
              <w:spacing w:before="0" w:after="0" w:line="240" w:lineRule="auto"/>
              <w:rPr>
                <w:rFonts w:cs="Arial"/>
                <w:color w:val="000000"/>
                <w:szCs w:val="22"/>
                <w:lang w:eastAsia="it-IT" w:bidi="ar-SA"/>
              </w:rPr>
            </w:pPr>
            <w:r w:rsidRPr="003E1FD6">
              <w:rPr>
                <w:rFonts w:cs="Arial"/>
                <w:color w:val="000000"/>
                <w:szCs w:val="22"/>
                <w:lang w:eastAsia="it-IT" w:bidi="ar-SA"/>
              </w:rPr>
              <w:t> </w:t>
            </w:r>
          </w:p>
        </w:tc>
      </w:tr>
    </w:tbl>
    <w:p w:rsidR="00E47379" w:rsidRDefault="00E47379">
      <w:pPr>
        <w:pStyle w:val="Corpodeltesto"/>
        <w:spacing w:before="120" w:after="0"/>
        <w:jc w:val="both"/>
        <w:rPr>
          <w:sz w:val="20"/>
        </w:rPr>
      </w:pPr>
    </w:p>
    <w:p w:rsidR="00E47379" w:rsidRDefault="00E47379">
      <w:pPr>
        <w:pStyle w:val="Corpodeltesto"/>
        <w:spacing w:before="120" w:after="0"/>
        <w:jc w:val="both"/>
        <w:rPr>
          <w:sz w:val="20"/>
        </w:rPr>
      </w:pPr>
    </w:p>
    <w:p w:rsidR="00E27519" w:rsidRPr="00A339FF" w:rsidRDefault="0003178C">
      <w:pPr>
        <w:pStyle w:val="Corpodeltesto"/>
        <w:spacing w:before="120" w:after="0"/>
        <w:jc w:val="both"/>
        <w:rPr>
          <w:sz w:val="20"/>
        </w:rPr>
      </w:pPr>
      <w:r w:rsidRPr="00A339FF">
        <w:rPr>
          <w:sz w:val="20"/>
        </w:rPr>
        <w:t>Nel seguito della Relazione, per ciascuna area strategica, si sintetizzano i principali risultati raggiunti nel 201</w:t>
      </w:r>
      <w:r w:rsidR="00A339FF" w:rsidRPr="00A339FF">
        <w:rPr>
          <w:sz w:val="20"/>
        </w:rPr>
        <w:t>7</w:t>
      </w:r>
      <w:r w:rsidRPr="00A339FF">
        <w:rPr>
          <w:sz w:val="20"/>
        </w:rPr>
        <w:t xml:space="preserve"> a seguito degli obiettivi di mandato del Direttore Generale (DGR 170/2015), della programmazione regionale 201</w:t>
      </w:r>
      <w:r w:rsidR="00A339FF" w:rsidRPr="00A339FF">
        <w:rPr>
          <w:sz w:val="20"/>
        </w:rPr>
        <w:t>7</w:t>
      </w:r>
      <w:r w:rsidRPr="00A339FF">
        <w:rPr>
          <w:sz w:val="20"/>
        </w:rPr>
        <w:t xml:space="preserve"> (DGR </w:t>
      </w:r>
      <w:r w:rsidR="00A339FF" w:rsidRPr="00A339FF">
        <w:rPr>
          <w:sz w:val="20"/>
        </w:rPr>
        <w:t>803</w:t>
      </w:r>
      <w:r w:rsidRPr="00A339FF">
        <w:rPr>
          <w:sz w:val="20"/>
        </w:rPr>
        <w:t>/201</w:t>
      </w:r>
      <w:r w:rsidR="00A339FF" w:rsidRPr="00A339FF">
        <w:rPr>
          <w:sz w:val="20"/>
        </w:rPr>
        <w:t>7</w:t>
      </w:r>
      <w:r w:rsidRPr="00A339FF">
        <w:rPr>
          <w:sz w:val="20"/>
        </w:rPr>
        <w:t xml:space="preserve">) e degli obiettivi di miglioramento da fonte interna. </w:t>
      </w:r>
    </w:p>
    <w:p w:rsidR="00E27519" w:rsidRDefault="0003178C">
      <w:pPr>
        <w:jc w:val="both"/>
        <w:rPr>
          <w:sz w:val="20"/>
        </w:rPr>
      </w:pPr>
      <w:r w:rsidRPr="00A339FF">
        <w:rPr>
          <w:sz w:val="20"/>
        </w:rPr>
        <w:t>Lo schema seguente illustra, in estrema sintesi, le traiettorie prioritarie della strategia aziendale, che hanno caratterizzato le singole politiche e iniziative descritte nel seguito a partire dalla mission aziendale, distinte per area strategica di intervento.</w:t>
      </w:r>
      <w:r>
        <w:rPr>
          <w:sz w:val="20"/>
        </w:rPr>
        <w:t xml:space="preserve"> </w:t>
      </w:r>
    </w:p>
    <w:p w:rsidR="00E27519" w:rsidRDefault="00E27519">
      <w:pPr>
        <w:jc w:val="both"/>
        <w:rPr>
          <w:sz w:val="20"/>
        </w:rPr>
      </w:pPr>
    </w:p>
    <w:p w:rsidR="00E27519" w:rsidRDefault="00E27519">
      <w:pPr>
        <w:jc w:val="center"/>
        <w:rPr>
          <w:sz w:val="18"/>
        </w:rPr>
      </w:pPr>
    </w:p>
    <w:p w:rsidR="00E27519" w:rsidRDefault="0003178C">
      <w:pPr>
        <w:pStyle w:val="Corpodeltesto"/>
        <w:spacing w:before="120" w:after="0"/>
        <w:jc w:val="center"/>
        <w:rPr>
          <w:sz w:val="20"/>
        </w:rPr>
      </w:pPr>
      <w:r>
        <w:rPr>
          <w:noProof/>
          <w:sz w:val="20"/>
          <w:lang w:eastAsia="it-IT" w:bidi="ar-SA"/>
        </w:rPr>
        <w:lastRenderedPageBreak/>
        <w:drawing>
          <wp:inline distT="0" distB="0" distL="0" distR="0" wp14:anchorId="48EA859F" wp14:editId="6814F83B">
            <wp:extent cx="4712335" cy="3331845"/>
            <wp:effectExtent l="0" t="0" r="0" b="190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20281" cy="3337904"/>
                    </a:xfrm>
                    <a:prstGeom prst="rect">
                      <a:avLst/>
                    </a:prstGeom>
                    <a:noFill/>
                    <a:ln>
                      <a:noFill/>
                    </a:ln>
                  </pic:spPr>
                </pic:pic>
              </a:graphicData>
            </a:graphic>
          </wp:inline>
        </w:drawing>
      </w:r>
    </w:p>
    <w:p w:rsidR="00E27519" w:rsidRDefault="00E27519">
      <w:pPr>
        <w:pStyle w:val="Corpodeltesto"/>
        <w:spacing w:before="120" w:after="0"/>
        <w:jc w:val="both"/>
        <w:rPr>
          <w:sz w:val="20"/>
        </w:rPr>
      </w:pPr>
    </w:p>
    <w:p w:rsidR="00E27519" w:rsidRDefault="0003178C">
      <w:pPr>
        <w:pStyle w:val="Corpodeltesto"/>
        <w:spacing w:before="120" w:after="0"/>
        <w:jc w:val="both"/>
        <w:rPr>
          <w:sz w:val="20"/>
        </w:rPr>
      </w:pPr>
      <w:r>
        <w:rPr>
          <w:sz w:val="20"/>
        </w:rPr>
        <w:t xml:space="preserve"> </w:t>
      </w:r>
    </w:p>
    <w:p w:rsidR="00E27519" w:rsidRPr="005037DC" w:rsidRDefault="005037DC">
      <w:pPr>
        <w:pStyle w:val="Corpodeltesto"/>
        <w:spacing w:before="120" w:after="0"/>
        <w:jc w:val="both"/>
        <w:rPr>
          <w:sz w:val="20"/>
        </w:rPr>
      </w:pPr>
      <w:r w:rsidRPr="005037DC">
        <w:rPr>
          <w:sz w:val="20"/>
        </w:rPr>
        <w:t xml:space="preserve">Si richiama la Mission </w:t>
      </w:r>
      <w:r w:rsidR="00875740" w:rsidRPr="005037DC">
        <w:rPr>
          <w:sz w:val="20"/>
        </w:rPr>
        <w:t>che la Direzione</w:t>
      </w:r>
      <w:r w:rsidR="0003178C" w:rsidRPr="005037DC">
        <w:rPr>
          <w:sz w:val="20"/>
        </w:rPr>
        <w:t xml:space="preserve"> intende perseguire </w:t>
      </w:r>
      <w:r w:rsidRPr="005037DC">
        <w:rPr>
          <w:sz w:val="20"/>
        </w:rPr>
        <w:t xml:space="preserve">e che </w:t>
      </w:r>
      <w:r w:rsidR="0003178C" w:rsidRPr="005037DC">
        <w:rPr>
          <w:sz w:val="20"/>
        </w:rPr>
        <w:t xml:space="preserve">è sintetizzata nell’espressione: “Generatore di Salute per i cittadini”: </w:t>
      </w:r>
    </w:p>
    <w:p w:rsidR="00E27519" w:rsidRPr="005037DC" w:rsidRDefault="0003178C">
      <w:pPr>
        <w:pStyle w:val="Corpodeltesto"/>
        <w:numPr>
          <w:ilvl w:val="0"/>
          <w:numId w:val="4"/>
        </w:numPr>
        <w:spacing w:before="120" w:after="0"/>
        <w:jc w:val="both"/>
        <w:rPr>
          <w:b/>
          <w:i/>
          <w:sz w:val="20"/>
        </w:rPr>
      </w:pPr>
      <w:r w:rsidRPr="005037DC">
        <w:rPr>
          <w:sz w:val="20"/>
        </w:rPr>
        <w:t>“</w:t>
      </w:r>
      <w:r w:rsidRPr="005037DC">
        <w:rPr>
          <w:b/>
          <w:sz w:val="20"/>
        </w:rPr>
        <w:t>Generatore</w:t>
      </w:r>
      <w:r w:rsidRPr="005037DC">
        <w:rPr>
          <w:sz w:val="20"/>
        </w:rPr>
        <w:t xml:space="preserve">”, in quanto produttori diretta di prestazioni sanitarie - secondo criteri di equità, appropriatezza, semplificazione, accessibilità, qualità -  insieme alla gestione della committenza, con l’AOU Policlinico di Modena e con le altre aziende produttrici, ma soprattutto quale Agenzia in grado di incidere sull’ambiente esterno e sui determinanti di salute oggetto di possibili interventi.  </w:t>
      </w:r>
      <w:r w:rsidRPr="005037DC">
        <w:rPr>
          <w:b/>
          <w:i/>
          <w:sz w:val="20"/>
        </w:rPr>
        <w:t>Generare, in maniera diretta od indiretta, in qualità di produttori o committenti, salute per i propri cittadini.</w:t>
      </w:r>
    </w:p>
    <w:p w:rsidR="00E27519" w:rsidRPr="005037DC" w:rsidRDefault="0003178C">
      <w:pPr>
        <w:pStyle w:val="Corpodeltesto"/>
        <w:numPr>
          <w:ilvl w:val="0"/>
          <w:numId w:val="4"/>
        </w:numPr>
        <w:spacing w:before="120" w:after="0"/>
        <w:jc w:val="both"/>
        <w:rPr>
          <w:b/>
          <w:i/>
          <w:sz w:val="20"/>
        </w:rPr>
      </w:pPr>
      <w:r w:rsidRPr="005037DC">
        <w:rPr>
          <w:sz w:val="20"/>
        </w:rPr>
        <w:t>“</w:t>
      </w:r>
      <w:r w:rsidRPr="005037DC">
        <w:rPr>
          <w:b/>
          <w:sz w:val="20"/>
        </w:rPr>
        <w:t>Salute</w:t>
      </w:r>
      <w:r w:rsidR="00BF11E4" w:rsidRPr="005037DC">
        <w:rPr>
          <w:sz w:val="20"/>
        </w:rPr>
        <w:t>”: le attivit</w:t>
      </w:r>
      <w:r w:rsidR="00D947E6" w:rsidRPr="005037DC">
        <w:rPr>
          <w:sz w:val="20"/>
        </w:rPr>
        <w:t xml:space="preserve">à </w:t>
      </w:r>
      <w:r w:rsidR="00BF11E4" w:rsidRPr="005037DC">
        <w:rPr>
          <w:sz w:val="20"/>
        </w:rPr>
        <w:t xml:space="preserve">svolte </w:t>
      </w:r>
      <w:r w:rsidRPr="005037DC">
        <w:rPr>
          <w:sz w:val="20"/>
        </w:rPr>
        <w:t>sono direttamente ed indirettamente orientate a</w:t>
      </w:r>
      <w:r w:rsidR="00BF11E4" w:rsidRPr="005037DC">
        <w:rPr>
          <w:sz w:val="20"/>
        </w:rPr>
        <w:t xml:space="preserve">l </w:t>
      </w:r>
      <w:r w:rsidRPr="005037DC">
        <w:rPr>
          <w:sz w:val="20"/>
        </w:rPr>
        <w:t xml:space="preserve">miglioramento </w:t>
      </w:r>
      <w:r w:rsidR="00BF11E4" w:rsidRPr="005037DC">
        <w:rPr>
          <w:sz w:val="20"/>
        </w:rPr>
        <w:t>del</w:t>
      </w:r>
      <w:r w:rsidRPr="005037DC">
        <w:rPr>
          <w:sz w:val="20"/>
        </w:rPr>
        <w:t>lo stato di salute di tutti i cittadini, nelle sue diverse dimensioni e possibilita’, graduando gli interventi di prevenzione, diagnosi, cura, riabilitazione  mediante la centralità della integrazione  tra diversi setting assistenziali allo scopo di preservare il piu’ elevato capitale di salute possibile, nel contesto delle condizioni di vita di ogni singolo individuo, sostenendo le potenzialit</w:t>
      </w:r>
      <w:r w:rsidR="00D947E6" w:rsidRPr="005037DC">
        <w:rPr>
          <w:sz w:val="20"/>
        </w:rPr>
        <w:t xml:space="preserve">à </w:t>
      </w:r>
      <w:r w:rsidRPr="005037DC">
        <w:rPr>
          <w:sz w:val="20"/>
        </w:rPr>
        <w:t>individuali, la capacit</w:t>
      </w:r>
      <w:r w:rsidR="00D947E6" w:rsidRPr="005037DC">
        <w:rPr>
          <w:sz w:val="20"/>
        </w:rPr>
        <w:t xml:space="preserve">à </w:t>
      </w:r>
      <w:r w:rsidRPr="005037DC">
        <w:rPr>
          <w:sz w:val="20"/>
        </w:rPr>
        <w:t xml:space="preserve">di partecipare attivamente al processo di cura. </w:t>
      </w:r>
      <w:r w:rsidRPr="005037DC">
        <w:rPr>
          <w:b/>
          <w:i/>
          <w:sz w:val="20"/>
        </w:rPr>
        <w:t>Salute intesa in senso ampio, non solo come assenza di malattia ma anche come «il miglior grado di salute possibile alla quale sappiamo adattarci».</w:t>
      </w:r>
    </w:p>
    <w:p w:rsidR="00E27519" w:rsidRPr="005037DC" w:rsidRDefault="0003178C">
      <w:pPr>
        <w:pStyle w:val="Corpodeltesto"/>
        <w:numPr>
          <w:ilvl w:val="0"/>
          <w:numId w:val="4"/>
        </w:numPr>
        <w:spacing w:before="120" w:after="0"/>
        <w:jc w:val="both"/>
        <w:rPr>
          <w:b/>
          <w:i/>
          <w:sz w:val="20"/>
        </w:rPr>
      </w:pPr>
      <w:r w:rsidRPr="005037DC">
        <w:rPr>
          <w:sz w:val="20"/>
        </w:rPr>
        <w:t>“</w:t>
      </w:r>
      <w:r w:rsidRPr="005037DC">
        <w:rPr>
          <w:b/>
          <w:sz w:val="20"/>
        </w:rPr>
        <w:t>Cittadini</w:t>
      </w:r>
      <w:r w:rsidRPr="005037DC">
        <w:rPr>
          <w:sz w:val="20"/>
        </w:rPr>
        <w:t>”: il diritto di cittadinanza assume valore concreto nella esigibilit</w:t>
      </w:r>
      <w:r w:rsidR="00D947E6" w:rsidRPr="005037DC">
        <w:rPr>
          <w:sz w:val="20"/>
        </w:rPr>
        <w:t xml:space="preserve">à </w:t>
      </w:r>
      <w:r w:rsidRPr="005037DC">
        <w:rPr>
          <w:sz w:val="20"/>
        </w:rPr>
        <w:t>dei diritti di eguaglianza, dignit</w:t>
      </w:r>
      <w:r w:rsidR="00D947E6" w:rsidRPr="005037DC">
        <w:rPr>
          <w:sz w:val="20"/>
        </w:rPr>
        <w:t xml:space="preserve">à </w:t>
      </w:r>
      <w:r w:rsidRPr="005037DC">
        <w:rPr>
          <w:sz w:val="20"/>
        </w:rPr>
        <w:t>rispetto</w:t>
      </w:r>
      <w:r w:rsidR="00BF11E4" w:rsidRPr="005037DC">
        <w:rPr>
          <w:sz w:val="20"/>
        </w:rPr>
        <w:t>, pari opportunità, solidarietà</w:t>
      </w:r>
      <w:r w:rsidRPr="005037DC">
        <w:rPr>
          <w:sz w:val="20"/>
        </w:rPr>
        <w:t>, partecipazione che generano capitale sociale, uno dei principali determinanti della salute. Al pari l’esperienza del cittadino nel perseguimento degli obiettivi di salute, allorquan</w:t>
      </w:r>
      <w:r w:rsidR="007A7A82" w:rsidRPr="005037DC">
        <w:rPr>
          <w:sz w:val="20"/>
        </w:rPr>
        <w:t xml:space="preserve">do attraversa </w:t>
      </w:r>
      <w:r w:rsidR="00BF11E4" w:rsidRPr="005037DC">
        <w:rPr>
          <w:sz w:val="20"/>
        </w:rPr>
        <w:t>i</w:t>
      </w:r>
      <w:r w:rsidRPr="005037DC">
        <w:rPr>
          <w:sz w:val="20"/>
        </w:rPr>
        <w:t xml:space="preserve"> servizi o partecipa attivamente a configurare il profilo di servizio e l’identit</w:t>
      </w:r>
      <w:r w:rsidR="00D947E6" w:rsidRPr="005037DC">
        <w:rPr>
          <w:sz w:val="20"/>
        </w:rPr>
        <w:t xml:space="preserve">à </w:t>
      </w:r>
      <w:r w:rsidRPr="005037DC">
        <w:rPr>
          <w:sz w:val="20"/>
        </w:rPr>
        <w:t>comunitaria dell’Azienda</w:t>
      </w:r>
      <w:r w:rsidR="00BF11E4" w:rsidRPr="005037DC">
        <w:rPr>
          <w:sz w:val="20"/>
        </w:rPr>
        <w:t>.</w:t>
      </w:r>
      <w:r w:rsidRPr="005037DC">
        <w:rPr>
          <w:sz w:val="20"/>
        </w:rPr>
        <w:t xml:space="preserve"> </w:t>
      </w:r>
      <w:r w:rsidRPr="005037DC">
        <w:rPr>
          <w:b/>
          <w:i/>
          <w:sz w:val="20"/>
        </w:rPr>
        <w:t>Massimizzare il capitale sociale, portando a sistema tutti i contributi dei componenti la comunità di riferimento generando valore p</w:t>
      </w:r>
      <w:r w:rsidR="007A7A82" w:rsidRPr="005037DC">
        <w:rPr>
          <w:b/>
          <w:i/>
          <w:sz w:val="20"/>
        </w:rPr>
        <w:t>er il singolo e la collettività</w:t>
      </w:r>
      <w:r w:rsidRPr="005037DC">
        <w:rPr>
          <w:b/>
          <w:i/>
          <w:sz w:val="20"/>
        </w:rPr>
        <w:t xml:space="preserve">. </w:t>
      </w:r>
    </w:p>
    <w:p w:rsidR="00E27519" w:rsidRPr="007A7A82" w:rsidRDefault="00E27519">
      <w:pPr>
        <w:pStyle w:val="Corpodeltesto"/>
        <w:spacing w:before="120" w:after="0"/>
        <w:jc w:val="both"/>
        <w:rPr>
          <w:sz w:val="20"/>
          <w:highlight w:val="yellow"/>
        </w:rPr>
      </w:pPr>
    </w:p>
    <w:p w:rsidR="00E27519" w:rsidRPr="00A339FF" w:rsidRDefault="0003178C" w:rsidP="0003178C">
      <w:pPr>
        <w:pStyle w:val="Corpodeltesto"/>
        <w:numPr>
          <w:ilvl w:val="255"/>
          <w:numId w:val="0"/>
        </w:numPr>
        <w:spacing w:before="120" w:after="0"/>
        <w:jc w:val="both"/>
        <w:rPr>
          <w:sz w:val="20"/>
        </w:rPr>
      </w:pPr>
      <w:r w:rsidRPr="00A339FF">
        <w:rPr>
          <w:sz w:val="20"/>
        </w:rPr>
        <w:t>In questa logica</w:t>
      </w:r>
      <w:r w:rsidR="00E4305C">
        <w:rPr>
          <w:sz w:val="20"/>
        </w:rPr>
        <w:t xml:space="preserve">, </w:t>
      </w:r>
      <w:r w:rsidRPr="00A339FF">
        <w:rPr>
          <w:sz w:val="20"/>
        </w:rPr>
        <w:t xml:space="preserve">il principio della </w:t>
      </w:r>
      <w:r w:rsidRPr="00A339FF">
        <w:rPr>
          <w:b/>
          <w:i/>
          <w:sz w:val="20"/>
        </w:rPr>
        <w:t>accountability</w:t>
      </w:r>
      <w:r w:rsidRPr="00A339FF">
        <w:rPr>
          <w:sz w:val="20"/>
        </w:rPr>
        <w:t xml:space="preserve">, inteso come rendicontazione alla comunità dell’operato e dei risultati conseguiti e in itinere, </w:t>
      </w:r>
      <w:r w:rsidR="00E4305C">
        <w:rPr>
          <w:sz w:val="20"/>
        </w:rPr>
        <w:t xml:space="preserve">orienta le attività aziendali, </w:t>
      </w:r>
      <w:r w:rsidRPr="00A339FF">
        <w:rPr>
          <w:sz w:val="20"/>
        </w:rPr>
        <w:t>al fine di sostenere la credibilita’, la fiducia, la reputazione sociale</w:t>
      </w:r>
      <w:r w:rsidR="00BF11E4" w:rsidRPr="00A339FF">
        <w:rPr>
          <w:sz w:val="20"/>
        </w:rPr>
        <w:t>,</w:t>
      </w:r>
      <w:r w:rsidR="007A7A82" w:rsidRPr="00A339FF">
        <w:rPr>
          <w:sz w:val="20"/>
        </w:rPr>
        <w:t xml:space="preserve"> </w:t>
      </w:r>
      <w:r w:rsidRPr="00A339FF">
        <w:rPr>
          <w:sz w:val="20"/>
        </w:rPr>
        <w:t xml:space="preserve">la legittimazione dell’Azienda Sanitaria Pubblica, attraverso  la creazione di </w:t>
      </w:r>
      <w:r w:rsidRPr="00A339FF">
        <w:rPr>
          <w:b/>
          <w:sz w:val="20"/>
        </w:rPr>
        <w:t xml:space="preserve">Valore </w:t>
      </w:r>
      <w:r w:rsidRPr="00A339FF">
        <w:rPr>
          <w:bCs/>
          <w:sz w:val="20"/>
        </w:rPr>
        <w:t>percepibile dei principali portatori di legittimo interesse.</w:t>
      </w:r>
      <w:r w:rsidRPr="00A339FF">
        <w:rPr>
          <w:sz w:val="20"/>
        </w:rPr>
        <w:t xml:space="preserve"> </w:t>
      </w:r>
    </w:p>
    <w:p w:rsidR="00E4305C" w:rsidRDefault="00E4305C">
      <w:pPr>
        <w:pStyle w:val="Corpodeltesto"/>
        <w:spacing w:before="120" w:after="0"/>
        <w:jc w:val="both"/>
        <w:rPr>
          <w:sz w:val="20"/>
        </w:rPr>
      </w:pPr>
      <w:r>
        <w:rPr>
          <w:sz w:val="20"/>
        </w:rPr>
        <w:lastRenderedPageBreak/>
        <w:t>Ulteriore elemento da richiamare, è la</w:t>
      </w:r>
      <w:r w:rsidR="0003178C" w:rsidRPr="00A339FF">
        <w:rPr>
          <w:sz w:val="20"/>
        </w:rPr>
        <w:t xml:space="preserve"> </w:t>
      </w:r>
      <w:r w:rsidR="0003178C" w:rsidRPr="00A339FF">
        <w:rPr>
          <w:b/>
          <w:bCs/>
          <w:sz w:val="20"/>
        </w:rPr>
        <w:t>velocit</w:t>
      </w:r>
      <w:r w:rsidR="00D947E6" w:rsidRPr="00A339FF">
        <w:rPr>
          <w:b/>
          <w:bCs/>
          <w:sz w:val="20"/>
        </w:rPr>
        <w:t xml:space="preserve">à </w:t>
      </w:r>
      <w:r w:rsidR="0003178C" w:rsidRPr="00A339FF">
        <w:rPr>
          <w:sz w:val="20"/>
        </w:rPr>
        <w:t>intesa come</w:t>
      </w:r>
      <w:r w:rsidR="00C70102">
        <w:rPr>
          <w:sz w:val="20"/>
        </w:rPr>
        <w:t xml:space="preserve"> la capacità</w:t>
      </w:r>
      <w:r w:rsidR="0003178C" w:rsidRPr="00A339FF">
        <w:rPr>
          <w:sz w:val="20"/>
        </w:rPr>
        <w:t xml:space="preserve">: </w:t>
      </w:r>
    </w:p>
    <w:p w:rsidR="00E4305C" w:rsidRDefault="0003178C">
      <w:pPr>
        <w:pStyle w:val="Corpodeltesto"/>
        <w:spacing w:before="120" w:after="0"/>
        <w:jc w:val="both"/>
        <w:rPr>
          <w:sz w:val="20"/>
        </w:rPr>
      </w:pPr>
      <w:r w:rsidRPr="00A339FF">
        <w:rPr>
          <w:sz w:val="20"/>
        </w:rPr>
        <w:t xml:space="preserve">a) di raggiungimento degli obiettivi prefissati entro tempi predefiniti, il più possibile brevi; </w:t>
      </w:r>
    </w:p>
    <w:p w:rsidR="00E4305C" w:rsidRDefault="0003178C">
      <w:pPr>
        <w:pStyle w:val="Corpodeltesto"/>
        <w:spacing w:before="120" w:after="0"/>
        <w:jc w:val="both"/>
        <w:rPr>
          <w:sz w:val="20"/>
        </w:rPr>
      </w:pPr>
      <w:r w:rsidRPr="00A339FF">
        <w:rPr>
          <w:sz w:val="20"/>
        </w:rPr>
        <w:t xml:space="preserve">b) di stare al passo con i cambiamenti della società e dei bisogni dei cittadini; </w:t>
      </w:r>
    </w:p>
    <w:p w:rsidR="00E4305C" w:rsidRDefault="0003178C">
      <w:pPr>
        <w:pStyle w:val="Corpodeltesto"/>
        <w:spacing w:before="120" w:after="0"/>
        <w:jc w:val="both"/>
        <w:rPr>
          <w:sz w:val="20"/>
        </w:rPr>
      </w:pPr>
      <w:r w:rsidRPr="00A339FF">
        <w:rPr>
          <w:sz w:val="20"/>
        </w:rPr>
        <w:t xml:space="preserve">c) di gestire al meglio l’unica risorsa che difficilmente può essere recuperata, il tempo, </w:t>
      </w:r>
    </w:p>
    <w:p w:rsidR="00E27519" w:rsidRDefault="00E4305C">
      <w:pPr>
        <w:pStyle w:val="Corpodeltesto"/>
        <w:spacing w:before="120" w:after="0"/>
        <w:jc w:val="both"/>
        <w:rPr>
          <w:sz w:val="20"/>
        </w:rPr>
      </w:pPr>
      <w:r>
        <w:rPr>
          <w:sz w:val="20"/>
        </w:rPr>
        <w:t xml:space="preserve">che </w:t>
      </w:r>
      <w:r w:rsidR="0003178C" w:rsidRPr="00A339FF">
        <w:rPr>
          <w:sz w:val="20"/>
        </w:rPr>
        <w:t>diventa essa stessa da strumento a componente del valore generato dall’ente pubblico nell’assolvere la propria funzione.</w:t>
      </w:r>
    </w:p>
    <w:p w:rsidR="00E27519" w:rsidRDefault="00E27519">
      <w:pPr>
        <w:pStyle w:val="Corpodeltesto"/>
        <w:spacing w:before="120" w:after="0"/>
        <w:jc w:val="both"/>
        <w:rPr>
          <w:sz w:val="20"/>
        </w:rPr>
      </w:pPr>
    </w:p>
    <w:p w:rsidR="00E27519" w:rsidRPr="00A339FF" w:rsidRDefault="0003178C">
      <w:pPr>
        <w:suppressAutoHyphens w:val="0"/>
        <w:spacing w:before="0"/>
        <w:rPr>
          <w:b/>
          <w:sz w:val="20"/>
        </w:rPr>
      </w:pPr>
      <w:r w:rsidRPr="00A339FF">
        <w:rPr>
          <w:b/>
          <w:sz w:val="20"/>
        </w:rPr>
        <w:t>Il modello organizzativo come strumento per il perseguimento dei fini di Istituto: il Modello Organizzativo dello Staff della Direzione Strategica</w:t>
      </w:r>
    </w:p>
    <w:p w:rsidR="00E27519" w:rsidRPr="00A339FF" w:rsidRDefault="0003178C">
      <w:pPr>
        <w:pStyle w:val="Corpodeltesto"/>
        <w:spacing w:before="120" w:after="0"/>
        <w:jc w:val="both"/>
        <w:rPr>
          <w:sz w:val="20"/>
        </w:rPr>
      </w:pPr>
      <w:r w:rsidRPr="00A339FF">
        <w:rPr>
          <w:sz w:val="20"/>
        </w:rPr>
        <w:t>Con la Delibera n. 025 del 29 febbraio 2016 si è provveduto alla revoca di parte del precedente manuale organizzativo, alla riorganizzazione delle strutture di staff e alla creazione di un unico modello a servizio della intera Direzione Strategica.</w:t>
      </w:r>
      <w:r w:rsidR="009652B9" w:rsidRPr="00A339FF">
        <w:rPr>
          <w:sz w:val="20"/>
        </w:rPr>
        <w:t xml:space="preserve"> </w:t>
      </w:r>
      <w:r w:rsidRPr="00A339FF">
        <w:rPr>
          <w:sz w:val="20"/>
        </w:rPr>
        <w:t xml:space="preserve">Il modello organizzativo è stato disegnato per poter al meglio procedere al raggiungimento della mission aziendale, </w:t>
      </w:r>
      <w:r w:rsidR="009652B9" w:rsidRPr="00A339FF">
        <w:rPr>
          <w:sz w:val="20"/>
        </w:rPr>
        <w:t>basato</w:t>
      </w:r>
      <w:r w:rsidR="003D41D2" w:rsidRPr="00A339FF">
        <w:rPr>
          <w:sz w:val="20"/>
        </w:rPr>
        <w:t xml:space="preserve"> sul valore del lavoro in team </w:t>
      </w:r>
      <w:r w:rsidRPr="00A339FF">
        <w:rPr>
          <w:sz w:val="20"/>
        </w:rPr>
        <w:t xml:space="preserve">e della contaminazione professionale. L’incontro di diversi saperi unito al cambiamento di cultura aziendale dove ogni persona risponde alla creazione di un servizio per il cittadino, è potenzialmente generatore di ulteriore valore. I precedenti 3 diversi segmenti dello staff afferenti alle direzioni Generale, Amministrative e Sanitaria, sono stati integrati in un unico modello a matrice, che abbandona la struttura a “Silos” e formalizza l’idea della trasversalità degli obiettivi e del lavoro per realizzarli.  </w:t>
      </w:r>
    </w:p>
    <w:p w:rsidR="005037DC" w:rsidRPr="00A339FF" w:rsidRDefault="005037DC" w:rsidP="00875740">
      <w:pPr>
        <w:pStyle w:val="Corpodeltesto"/>
        <w:spacing w:after="0"/>
        <w:jc w:val="both"/>
        <w:rPr>
          <w:sz w:val="20"/>
        </w:rPr>
      </w:pPr>
    </w:p>
    <w:p w:rsidR="00875740" w:rsidRPr="00A339FF" w:rsidRDefault="00875740" w:rsidP="00875740">
      <w:pPr>
        <w:pStyle w:val="Corpodeltesto"/>
        <w:spacing w:after="0"/>
        <w:jc w:val="both"/>
        <w:rPr>
          <w:sz w:val="20"/>
        </w:rPr>
      </w:pPr>
      <w:r w:rsidRPr="00A339FF">
        <w:rPr>
          <w:sz w:val="20"/>
        </w:rPr>
        <w:t>Nel corso del 2017, a seguito della riorganizzazione di alcuni servizi e all’introduzione di nuove funzioni,</w:t>
      </w:r>
      <w:r w:rsidR="005037DC" w:rsidRPr="00A339FF">
        <w:rPr>
          <w:sz w:val="20"/>
        </w:rPr>
        <w:t xml:space="preserve"> tale modello</w:t>
      </w:r>
      <w:r w:rsidRPr="00A339FF">
        <w:rPr>
          <w:sz w:val="20"/>
        </w:rPr>
        <w:t xml:space="preserve"> è stato parzialmente aggiornato</w:t>
      </w:r>
      <w:r w:rsidR="005037DC" w:rsidRPr="00A339FF">
        <w:rPr>
          <w:sz w:val="20"/>
        </w:rPr>
        <w:t>; si riportano i principali aggiornamenti introdotti:</w:t>
      </w:r>
    </w:p>
    <w:p w:rsidR="00875740" w:rsidRPr="00A339FF" w:rsidRDefault="00875740" w:rsidP="005037DC">
      <w:pPr>
        <w:pStyle w:val="Corpodeltesto"/>
        <w:numPr>
          <w:ilvl w:val="0"/>
          <w:numId w:val="37"/>
        </w:numPr>
        <w:spacing w:after="0"/>
        <w:jc w:val="both"/>
        <w:rPr>
          <w:sz w:val="20"/>
        </w:rPr>
      </w:pPr>
      <w:r w:rsidRPr="00A339FF">
        <w:rPr>
          <w:sz w:val="20"/>
        </w:rPr>
        <w:t>Con le delibere n.93 del 31 marzo 2017 e n.230 del 27 luglio 2017, è stata costituita la struttura Direzione delle Professioni Sanitarie, inserita nella Direzione Strategica dell’Azienda. Tale</w:t>
      </w:r>
      <w:r w:rsidR="005037DC" w:rsidRPr="00A339FF">
        <w:rPr>
          <w:sz w:val="20"/>
        </w:rPr>
        <w:t xml:space="preserve"> riorganizzazione sottolinea la necessità della </w:t>
      </w:r>
      <w:r w:rsidRPr="00A339FF">
        <w:rPr>
          <w:sz w:val="20"/>
        </w:rPr>
        <w:t xml:space="preserve">trasversalità professionale, orientata alla costruzione di una cultura aziendale a garanzia dell'integrazione tra i servizi e tra i professionisti, in relazione alle necessità dell’assistito ed alla necessità di continuità del percorso di cura. La competenza professionale agita diventa l’orientamento delle scelte professionali ed organizzative e la valorizzazione, la crescita e lo sviluppo professionale la linea di tendenza. </w:t>
      </w:r>
    </w:p>
    <w:p w:rsidR="00C25179" w:rsidRPr="00A339FF" w:rsidRDefault="00C25179" w:rsidP="00875740">
      <w:pPr>
        <w:pStyle w:val="Corpodeltesto"/>
        <w:spacing w:after="0"/>
        <w:jc w:val="both"/>
        <w:rPr>
          <w:sz w:val="20"/>
        </w:rPr>
      </w:pPr>
    </w:p>
    <w:p w:rsidR="00875740" w:rsidRPr="00A339FF" w:rsidRDefault="00875740" w:rsidP="005037DC">
      <w:pPr>
        <w:pStyle w:val="Corpodeltesto"/>
        <w:numPr>
          <w:ilvl w:val="0"/>
          <w:numId w:val="37"/>
        </w:numPr>
        <w:spacing w:after="0"/>
        <w:jc w:val="both"/>
        <w:rPr>
          <w:sz w:val="20"/>
        </w:rPr>
      </w:pPr>
      <w:r w:rsidRPr="00A339FF">
        <w:rPr>
          <w:sz w:val="20"/>
        </w:rPr>
        <w:t>Con la delibera n.258 del 12 settembre 2017, è stata creata la struttura Data Management &amp; Business Intelligence, collocata in Direzione Operativa nello St</w:t>
      </w:r>
      <w:r w:rsidR="009F2228" w:rsidRPr="00A339FF">
        <w:rPr>
          <w:sz w:val="20"/>
        </w:rPr>
        <w:t xml:space="preserve">aff della Direzione Strategica. </w:t>
      </w:r>
    </w:p>
    <w:p w:rsidR="009F2228" w:rsidRPr="00A339FF" w:rsidRDefault="00875740" w:rsidP="005037DC">
      <w:pPr>
        <w:pStyle w:val="Corpodeltesto"/>
        <w:spacing w:after="0"/>
        <w:ind w:left="708"/>
        <w:jc w:val="both"/>
        <w:rPr>
          <w:sz w:val="20"/>
        </w:rPr>
      </w:pPr>
      <w:r w:rsidRPr="00A339FF">
        <w:rPr>
          <w:sz w:val="20"/>
        </w:rPr>
        <w:t xml:space="preserve">Tale struttura è </w:t>
      </w:r>
      <w:r w:rsidR="005037DC" w:rsidRPr="00A339FF">
        <w:rPr>
          <w:sz w:val="20"/>
        </w:rPr>
        <w:t xml:space="preserve">finalizzata a </w:t>
      </w:r>
      <w:r w:rsidRPr="00A339FF">
        <w:rPr>
          <w:sz w:val="20"/>
        </w:rPr>
        <w:t xml:space="preserve">creare un efficiente sistema in grado di fornire lo sviluppo di reportistiche integrate ed evolute finalizzate al trasferimento dell’informazione alla Direzione Strategica e all’intera organizzazione aziendale in modo utile a generare valore per l’utente finale. </w:t>
      </w:r>
      <w:r w:rsidR="009F2228" w:rsidRPr="00A339FF">
        <w:rPr>
          <w:sz w:val="20"/>
        </w:rPr>
        <w:t xml:space="preserve">Questa nuova struttura darà avvio ad un programma di sviluppo di un sistema di Business Intelligence che includa tutti gli ambiti che concorrono ai sistemi informativi sanitari, socio-sanitari, sociali ed amministrativi attraverso un processo di integrazione di tutti i flussi informativi esistenti. </w:t>
      </w:r>
    </w:p>
    <w:p w:rsidR="009F2228" w:rsidRPr="00A339FF" w:rsidRDefault="009F2228" w:rsidP="00875740">
      <w:pPr>
        <w:pStyle w:val="Corpodeltesto"/>
        <w:spacing w:after="0"/>
        <w:jc w:val="both"/>
        <w:rPr>
          <w:sz w:val="20"/>
        </w:rPr>
      </w:pPr>
    </w:p>
    <w:p w:rsidR="005037DC" w:rsidRPr="00A339FF" w:rsidRDefault="005037DC" w:rsidP="005037DC">
      <w:pPr>
        <w:pStyle w:val="Corpodeltesto"/>
        <w:spacing w:after="0"/>
        <w:jc w:val="both"/>
        <w:rPr>
          <w:sz w:val="20"/>
        </w:rPr>
      </w:pPr>
      <w:r w:rsidRPr="00A339FF">
        <w:rPr>
          <w:sz w:val="20"/>
        </w:rPr>
        <w:t>È stata introdotta la funzione “Clinical Process Innovation” in Direzione Operativa</w:t>
      </w:r>
      <w:r w:rsidR="00C73BD4" w:rsidRPr="00A339FF">
        <w:rPr>
          <w:sz w:val="20"/>
        </w:rPr>
        <w:t xml:space="preserve"> </w:t>
      </w:r>
      <w:r w:rsidR="00C73BD4" w:rsidRPr="00A339FF">
        <w:rPr>
          <w:sz w:val="20"/>
          <w:highlight w:val="yellow"/>
        </w:rPr>
        <w:t>(Delibera ……….)</w:t>
      </w:r>
      <w:r w:rsidRPr="00A339FF">
        <w:rPr>
          <w:sz w:val="20"/>
          <w:highlight w:val="yellow"/>
        </w:rPr>
        <w:t>.</w:t>
      </w:r>
      <w:r w:rsidRPr="00A339FF">
        <w:rPr>
          <w:sz w:val="20"/>
        </w:rPr>
        <w:t xml:space="preserve"> Questa nuova funzione nasce dalla necessità di sviluppare ed implementare percorsi dei pazienti cronici, a partire dall’offerta presso il domicilio del paziente, presso le Case della Salute e le altre strutture intermedie quali gli Ospedali di Comunità, prevedendo anche le fasi acute che richiedono il ricovero ospedaliero e le fasi di riabilitazione. </w:t>
      </w:r>
    </w:p>
    <w:p w:rsidR="005037DC" w:rsidRPr="00A339FF" w:rsidRDefault="005037DC" w:rsidP="005037DC">
      <w:pPr>
        <w:pStyle w:val="Corpodeltesto"/>
        <w:spacing w:after="0"/>
        <w:jc w:val="both"/>
        <w:rPr>
          <w:sz w:val="20"/>
        </w:rPr>
      </w:pPr>
    </w:p>
    <w:p w:rsidR="005037DC" w:rsidRPr="00A339FF" w:rsidRDefault="005037DC" w:rsidP="005037DC">
      <w:pPr>
        <w:pStyle w:val="Corpodeltesto"/>
        <w:spacing w:after="0"/>
        <w:jc w:val="both"/>
        <w:rPr>
          <w:sz w:val="20"/>
        </w:rPr>
      </w:pPr>
      <w:r w:rsidRPr="00A339FF">
        <w:rPr>
          <w:sz w:val="20"/>
        </w:rPr>
        <w:t xml:space="preserve">La struttura “Logistica integrata e gestione operativa dei Percorsi” è stata focalizzata sui Percorsi chirurgici, ambito </w:t>
      </w:r>
      <w:r w:rsidR="00C73BD4" w:rsidRPr="00A339FF">
        <w:rPr>
          <w:sz w:val="20"/>
        </w:rPr>
        <w:t>strategico</w:t>
      </w:r>
      <w:r w:rsidRPr="00A339FF">
        <w:rPr>
          <w:sz w:val="20"/>
        </w:rPr>
        <w:t xml:space="preserve"> di obiettivi da conseguire per l’Azienda</w:t>
      </w:r>
      <w:r w:rsidR="00C73BD4" w:rsidRPr="00A339FF">
        <w:rPr>
          <w:sz w:val="20"/>
        </w:rPr>
        <w:t xml:space="preserve"> e quindi di programmazione</w:t>
      </w:r>
      <w:r w:rsidRPr="00A339FF">
        <w:rPr>
          <w:sz w:val="20"/>
        </w:rPr>
        <w:t xml:space="preserve">, in particolare </w:t>
      </w:r>
      <w:r w:rsidR="00C73BD4" w:rsidRPr="00A339FF">
        <w:rPr>
          <w:sz w:val="20"/>
        </w:rPr>
        <w:t>finalizzati</w:t>
      </w:r>
      <w:r w:rsidRPr="00A339FF">
        <w:rPr>
          <w:sz w:val="20"/>
        </w:rPr>
        <w:t xml:space="preserve"> alla riduzione e controllo continuativo dei tempi di attesa delle prestazioni chirurgiche programmate. </w:t>
      </w:r>
    </w:p>
    <w:p w:rsidR="00C73BD4" w:rsidRPr="00A339FF" w:rsidRDefault="00C73BD4" w:rsidP="005037DC">
      <w:pPr>
        <w:pStyle w:val="Corpodeltesto"/>
        <w:spacing w:after="0"/>
        <w:jc w:val="both"/>
        <w:rPr>
          <w:sz w:val="20"/>
        </w:rPr>
      </w:pPr>
    </w:p>
    <w:p w:rsidR="007D2CA9" w:rsidRPr="00A339FF" w:rsidRDefault="00875740" w:rsidP="00875740">
      <w:pPr>
        <w:pStyle w:val="Corpodeltesto"/>
        <w:spacing w:after="0"/>
        <w:jc w:val="both"/>
        <w:rPr>
          <w:sz w:val="20"/>
        </w:rPr>
      </w:pPr>
      <w:r w:rsidRPr="00A339FF">
        <w:rPr>
          <w:sz w:val="20"/>
        </w:rPr>
        <w:t>La struttura Valorizzazi</w:t>
      </w:r>
      <w:r w:rsidR="007D2CA9" w:rsidRPr="00A339FF">
        <w:rPr>
          <w:sz w:val="20"/>
        </w:rPr>
        <w:t xml:space="preserve">one e Valutazione Risorse Umane, afferente all’Area </w:t>
      </w:r>
      <w:r w:rsidRPr="00A339FF">
        <w:rPr>
          <w:sz w:val="20"/>
        </w:rPr>
        <w:t>Gestione Strategica Risorse Umane</w:t>
      </w:r>
      <w:r w:rsidR="007D2CA9" w:rsidRPr="00A339FF">
        <w:rPr>
          <w:sz w:val="20"/>
        </w:rPr>
        <w:t xml:space="preserve">, è stata ampliata, in modo da </w:t>
      </w:r>
      <w:r w:rsidRPr="00A339FF">
        <w:rPr>
          <w:sz w:val="20"/>
        </w:rPr>
        <w:t xml:space="preserve">ricomprendere anche le attività di più lungo periodo creando l’unità “Pianificazione, valutazione e valorizzazione del personale”. </w:t>
      </w:r>
    </w:p>
    <w:p w:rsidR="00C73BD4" w:rsidRPr="00A339FF" w:rsidRDefault="00C73BD4" w:rsidP="00875740">
      <w:pPr>
        <w:pStyle w:val="Corpodeltesto"/>
        <w:spacing w:after="0"/>
        <w:jc w:val="both"/>
        <w:rPr>
          <w:sz w:val="20"/>
        </w:rPr>
      </w:pPr>
    </w:p>
    <w:p w:rsidR="00875740" w:rsidRPr="00A339FF" w:rsidRDefault="007D2CA9" w:rsidP="00875740">
      <w:pPr>
        <w:pStyle w:val="Corpodeltesto"/>
        <w:spacing w:after="0"/>
        <w:jc w:val="both"/>
        <w:rPr>
          <w:sz w:val="20"/>
        </w:rPr>
      </w:pPr>
      <w:r w:rsidRPr="00A339FF">
        <w:rPr>
          <w:sz w:val="20"/>
        </w:rPr>
        <w:lastRenderedPageBreak/>
        <w:t>Ad alcune unità sono state assegnate denominazioni più coerenti con le aree di responsabilità e gli obiettivi da perseguire</w:t>
      </w:r>
      <w:r w:rsidR="00875740" w:rsidRPr="00A339FF">
        <w:rPr>
          <w:sz w:val="20"/>
        </w:rPr>
        <w:t>: “Promozione della Salute” e “Comunicazione e Relazioni con il Pubblico”, inserite nell’Area Reputation &amp; Brand, rispettivamente in “Politiche dell</w:t>
      </w:r>
      <w:r w:rsidRPr="00A339FF">
        <w:rPr>
          <w:sz w:val="20"/>
        </w:rPr>
        <w:t>a Salute” e “Customer Service”.</w:t>
      </w:r>
    </w:p>
    <w:p w:rsidR="007D2CA9" w:rsidRPr="00A339FF" w:rsidRDefault="007D2CA9" w:rsidP="00875740">
      <w:pPr>
        <w:pStyle w:val="Corpodeltesto"/>
        <w:spacing w:after="0"/>
        <w:jc w:val="both"/>
        <w:rPr>
          <w:sz w:val="20"/>
        </w:rPr>
      </w:pPr>
    </w:p>
    <w:p w:rsidR="005C7B17" w:rsidRPr="00A339FF" w:rsidRDefault="008C2CAC" w:rsidP="00875740">
      <w:pPr>
        <w:pStyle w:val="Corpodeltesto"/>
        <w:spacing w:after="0"/>
        <w:jc w:val="both"/>
        <w:rPr>
          <w:sz w:val="20"/>
        </w:rPr>
      </w:pPr>
      <w:r w:rsidRPr="00A339FF">
        <w:rPr>
          <w:sz w:val="20"/>
        </w:rPr>
        <w:t>C</w:t>
      </w:r>
      <w:r w:rsidR="00875740" w:rsidRPr="00A339FF">
        <w:rPr>
          <w:sz w:val="20"/>
        </w:rPr>
        <w:t>on la Delibera n.338 del 5 dicembre 2017, l’articolazione dello Staff è stata aggiornata con la creazione di una nuova Area denominata “Area Tecnologie e Infrastrutture”, nata con la finalità di unificare le strutture tecniche, di gestione delle strutture immobiliari e delle infrastrutture aziendali, fisiche ed informatiche, per un corretto funzionamento nei confronti degli utenti. In questa area sono confluite le seguenti strutt</w:t>
      </w:r>
      <w:r w:rsidR="005C7B17" w:rsidRPr="00A339FF">
        <w:rPr>
          <w:sz w:val="20"/>
        </w:rPr>
        <w:t>ure, dalla Direzione Operativa:</w:t>
      </w:r>
    </w:p>
    <w:p w:rsidR="005C7B17" w:rsidRPr="00A339FF" w:rsidRDefault="00875740" w:rsidP="00875740">
      <w:pPr>
        <w:pStyle w:val="Corpodeltesto"/>
        <w:numPr>
          <w:ilvl w:val="0"/>
          <w:numId w:val="33"/>
        </w:numPr>
        <w:spacing w:after="0"/>
        <w:jc w:val="both"/>
        <w:rPr>
          <w:sz w:val="20"/>
        </w:rPr>
      </w:pPr>
      <w:r w:rsidRPr="00A339FF">
        <w:rPr>
          <w:sz w:val="20"/>
        </w:rPr>
        <w:t>Se</w:t>
      </w:r>
      <w:r w:rsidR="005C7B17" w:rsidRPr="00A339FF">
        <w:rPr>
          <w:sz w:val="20"/>
        </w:rPr>
        <w:t>rvizio Unico Ingegneria Clinica;</w:t>
      </w:r>
    </w:p>
    <w:p w:rsidR="005C7B17" w:rsidRPr="00A339FF" w:rsidRDefault="00875740" w:rsidP="00AC7DF2">
      <w:pPr>
        <w:pStyle w:val="Corpodeltesto"/>
        <w:numPr>
          <w:ilvl w:val="0"/>
          <w:numId w:val="33"/>
        </w:numPr>
        <w:spacing w:after="0"/>
        <w:jc w:val="both"/>
        <w:rPr>
          <w:sz w:val="20"/>
        </w:rPr>
      </w:pPr>
      <w:r w:rsidRPr="00A339FF">
        <w:rPr>
          <w:sz w:val="20"/>
        </w:rPr>
        <w:t>S</w:t>
      </w:r>
      <w:r w:rsidR="005C7B17" w:rsidRPr="00A339FF">
        <w:rPr>
          <w:sz w:val="20"/>
        </w:rPr>
        <w:t>ervizio Unico Attività Tecniche;</w:t>
      </w:r>
    </w:p>
    <w:p w:rsidR="005C7B17" w:rsidRPr="00A339FF" w:rsidRDefault="00875740" w:rsidP="00AC7DF2">
      <w:pPr>
        <w:pStyle w:val="Corpodeltesto"/>
        <w:numPr>
          <w:ilvl w:val="0"/>
          <w:numId w:val="33"/>
        </w:numPr>
        <w:spacing w:after="0"/>
        <w:jc w:val="both"/>
        <w:rPr>
          <w:sz w:val="20"/>
        </w:rPr>
      </w:pPr>
      <w:r w:rsidRPr="00A339FF">
        <w:rPr>
          <w:sz w:val="20"/>
        </w:rPr>
        <w:t>Servizio Information e Communication Technology</w:t>
      </w:r>
      <w:r w:rsidR="005C7B17" w:rsidRPr="00A339FF">
        <w:rPr>
          <w:sz w:val="20"/>
        </w:rPr>
        <w:t>;</w:t>
      </w:r>
    </w:p>
    <w:p w:rsidR="00875740" w:rsidRPr="00A339FF" w:rsidRDefault="00875740" w:rsidP="00AC7DF2">
      <w:pPr>
        <w:pStyle w:val="Corpodeltesto"/>
        <w:numPr>
          <w:ilvl w:val="0"/>
          <w:numId w:val="33"/>
        </w:numPr>
        <w:spacing w:after="0"/>
        <w:jc w:val="both"/>
        <w:rPr>
          <w:sz w:val="20"/>
        </w:rPr>
      </w:pPr>
      <w:r w:rsidRPr="00A339FF">
        <w:rPr>
          <w:sz w:val="20"/>
        </w:rPr>
        <w:t>Servizio Fisica Medica Aziendale, allocato precedentemente nell’Area Programmazione e Governo delle Attività Sanitarie.</w:t>
      </w:r>
    </w:p>
    <w:p w:rsidR="00875740" w:rsidRPr="00A339FF" w:rsidRDefault="00875740" w:rsidP="00875740">
      <w:pPr>
        <w:pStyle w:val="Corpodeltesto"/>
        <w:spacing w:after="0"/>
        <w:jc w:val="both"/>
        <w:rPr>
          <w:sz w:val="20"/>
        </w:rPr>
      </w:pPr>
    </w:p>
    <w:p w:rsidR="00875740" w:rsidRDefault="00875740" w:rsidP="00875740">
      <w:pPr>
        <w:pStyle w:val="Corpodeltesto"/>
        <w:spacing w:before="120" w:after="0"/>
        <w:jc w:val="both"/>
        <w:rPr>
          <w:sz w:val="20"/>
        </w:rPr>
      </w:pPr>
      <w:r w:rsidRPr="00A339FF">
        <w:rPr>
          <w:sz w:val="20"/>
        </w:rPr>
        <w:t>Di seguito è riportato l’allegato 1 della Delibera n.338 del 5 dicembre 2017, contenente le variazioni descritte.</w:t>
      </w:r>
    </w:p>
    <w:p w:rsidR="009652B9" w:rsidRDefault="008C2CAC">
      <w:pPr>
        <w:pStyle w:val="Corpodeltesto"/>
        <w:spacing w:before="120" w:after="0"/>
        <w:jc w:val="both"/>
        <w:rPr>
          <w:sz w:val="20"/>
        </w:rPr>
      </w:pPr>
      <w:r w:rsidRPr="00535F06">
        <w:rPr>
          <w:rFonts w:cs="Times New Roman"/>
          <w:noProof/>
          <w:color w:val="000000"/>
          <w:lang w:eastAsia="it-IT" w:bidi="ar-SA"/>
        </w:rPr>
        <w:drawing>
          <wp:inline distT="0" distB="0" distL="0" distR="0" wp14:anchorId="2F5643AA" wp14:editId="55A36F83">
            <wp:extent cx="6329828" cy="3382889"/>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160" cy="3384135"/>
                    </a:xfrm>
                    <a:prstGeom prst="rect">
                      <a:avLst/>
                    </a:prstGeom>
                    <a:noFill/>
                    <a:ln>
                      <a:noFill/>
                    </a:ln>
                  </pic:spPr>
                </pic:pic>
              </a:graphicData>
            </a:graphic>
          </wp:inline>
        </w:drawing>
      </w:r>
    </w:p>
    <w:p w:rsidR="008C2CAC" w:rsidRDefault="008C2CAC">
      <w:pPr>
        <w:pStyle w:val="Corpodeltesto"/>
        <w:spacing w:before="120" w:after="0"/>
        <w:jc w:val="both"/>
        <w:rPr>
          <w:sz w:val="20"/>
        </w:rPr>
      </w:pPr>
    </w:p>
    <w:p w:rsidR="009652B9" w:rsidRDefault="009652B9">
      <w:pPr>
        <w:pStyle w:val="Corpodeltesto"/>
        <w:spacing w:before="120" w:after="0"/>
        <w:jc w:val="both"/>
        <w:rPr>
          <w:sz w:val="20"/>
        </w:rPr>
      </w:pPr>
    </w:p>
    <w:p w:rsidR="009652B9" w:rsidRDefault="009652B9">
      <w:pPr>
        <w:pStyle w:val="Corpodeltesto"/>
        <w:spacing w:before="120" w:after="0"/>
        <w:jc w:val="both"/>
        <w:rPr>
          <w:sz w:val="20"/>
        </w:rPr>
      </w:pPr>
    </w:p>
    <w:p w:rsidR="00673833" w:rsidRDefault="00673833">
      <w:pPr>
        <w:suppressAutoHyphens w:val="0"/>
        <w:spacing w:before="0"/>
        <w:rPr>
          <w:sz w:val="20"/>
        </w:rPr>
      </w:pPr>
      <w:r>
        <w:rPr>
          <w:sz w:val="20"/>
        </w:rPr>
        <w:br w:type="page"/>
      </w:r>
    </w:p>
    <w:p w:rsidR="009652B9" w:rsidRDefault="009652B9">
      <w:pPr>
        <w:pStyle w:val="Corpodeltesto"/>
        <w:spacing w:before="120" w:after="0"/>
        <w:jc w:val="both"/>
        <w:rPr>
          <w:sz w:val="20"/>
        </w:rPr>
      </w:pPr>
    </w:p>
    <w:p w:rsidR="00E27519" w:rsidRPr="00DB4F9A" w:rsidRDefault="0003178C">
      <w:pPr>
        <w:pStyle w:val="Corpodeltesto"/>
        <w:spacing w:before="120" w:after="0"/>
        <w:jc w:val="both"/>
        <w:rPr>
          <w:b/>
          <w:sz w:val="20"/>
        </w:rPr>
      </w:pPr>
      <w:r w:rsidRPr="00DB4F9A">
        <w:rPr>
          <w:b/>
          <w:sz w:val="20"/>
        </w:rPr>
        <w:t>Principali risulta</w:t>
      </w:r>
      <w:r w:rsidR="00DB4F9A" w:rsidRPr="00DB4F9A">
        <w:rPr>
          <w:b/>
          <w:sz w:val="20"/>
        </w:rPr>
        <w:t>ti conseguiti nel corso del 2017</w:t>
      </w:r>
    </w:p>
    <w:p w:rsidR="00E27519" w:rsidRDefault="0003178C">
      <w:pPr>
        <w:pStyle w:val="Corpodeltesto"/>
        <w:spacing w:before="120" w:after="0"/>
        <w:jc w:val="both"/>
        <w:rPr>
          <w:sz w:val="20"/>
        </w:rPr>
      </w:pPr>
      <w:r w:rsidRPr="00DB4F9A">
        <w:rPr>
          <w:sz w:val="20"/>
        </w:rPr>
        <w:t>Nell’immagine di seguito una sintesi dei principali risultati conseguiti nel 201</w:t>
      </w:r>
      <w:r w:rsidR="00DB4F9A" w:rsidRPr="00DB4F9A">
        <w:rPr>
          <w:sz w:val="20"/>
        </w:rPr>
        <w:t>7</w:t>
      </w:r>
      <w:r w:rsidRPr="00DB4F9A">
        <w:rPr>
          <w:sz w:val="20"/>
        </w:rPr>
        <w:t>.</w:t>
      </w:r>
    </w:p>
    <w:p w:rsidR="00E27519" w:rsidRDefault="00E27519">
      <w:pPr>
        <w:pStyle w:val="Corpodeltesto"/>
        <w:spacing w:before="120" w:after="0"/>
        <w:jc w:val="both"/>
        <w:rPr>
          <w:b/>
          <w:color w:val="FFC000"/>
          <w:sz w:val="28"/>
        </w:rPr>
      </w:pPr>
    </w:p>
    <w:p w:rsidR="00E27519" w:rsidRDefault="002171F2">
      <w:pPr>
        <w:pStyle w:val="Corpodeltesto"/>
        <w:spacing w:before="120" w:after="0"/>
        <w:jc w:val="both"/>
        <w:rPr>
          <w:b/>
          <w:color w:val="FFC000"/>
          <w:sz w:val="28"/>
        </w:rPr>
      </w:pPr>
      <w:r w:rsidRPr="002171F2">
        <w:rPr>
          <w:b/>
          <w:noProof/>
          <w:color w:val="FFC000"/>
          <w:sz w:val="28"/>
          <w:lang w:eastAsia="it-IT" w:bidi="ar-SA"/>
        </w:rPr>
        <w:drawing>
          <wp:inline distT="0" distB="0" distL="0" distR="0" wp14:anchorId="14271800" wp14:editId="69B4ED9C">
            <wp:extent cx="6096851" cy="342947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rsidR="00E27519" w:rsidRDefault="00E27519">
      <w:pPr>
        <w:suppressAutoHyphens w:val="0"/>
        <w:spacing w:before="0"/>
        <w:rPr>
          <w:rFonts w:ascii="Cambria" w:hAnsi="Cambria" w:cs="Cambria"/>
          <w:b/>
          <w:smallCaps/>
          <w:sz w:val="26"/>
        </w:rPr>
      </w:pPr>
    </w:p>
    <w:p w:rsidR="009652B9" w:rsidRDefault="009652B9">
      <w:pPr>
        <w:suppressAutoHyphens w:val="0"/>
        <w:spacing w:before="0"/>
        <w:rPr>
          <w:rFonts w:ascii="Cambria" w:hAnsi="Cambria" w:cs="Cambria"/>
          <w:b/>
          <w:smallCaps/>
          <w:sz w:val="26"/>
        </w:rPr>
      </w:pPr>
    </w:p>
    <w:p w:rsidR="00C70102" w:rsidRDefault="00C70102">
      <w:pPr>
        <w:suppressAutoHyphens w:val="0"/>
        <w:spacing w:before="0"/>
        <w:rPr>
          <w:rFonts w:ascii="Cambria" w:hAnsi="Cambria" w:cs="Cambria"/>
          <w:b/>
          <w:smallCaps/>
          <w:sz w:val="26"/>
        </w:rPr>
      </w:pPr>
      <w:r>
        <w:rPr>
          <w:rFonts w:ascii="Cambria" w:hAnsi="Cambria" w:cs="Cambria"/>
          <w:b/>
          <w:smallCaps/>
          <w:sz w:val="26"/>
        </w:rPr>
        <w:br w:type="page"/>
      </w:r>
    </w:p>
    <w:p w:rsidR="009652B9" w:rsidRDefault="009652B9">
      <w:pPr>
        <w:suppressAutoHyphens w:val="0"/>
        <w:spacing w:before="0"/>
        <w:rPr>
          <w:rFonts w:ascii="Cambria" w:hAnsi="Cambria" w:cs="Cambria"/>
          <w:b/>
          <w:smallCaps/>
          <w:sz w:val="26"/>
        </w:rPr>
      </w:pPr>
    </w:p>
    <w:p w:rsidR="00E27519" w:rsidRDefault="0003178C">
      <w:pPr>
        <w:pStyle w:val="Titolo2"/>
        <w:numPr>
          <w:ilvl w:val="1"/>
          <w:numId w:val="6"/>
        </w:numPr>
      </w:pPr>
      <w:bookmarkStart w:id="9" w:name="_Toc518040047"/>
      <w:r>
        <w:t>1 Politiche integrate della promozione e tutela della salute</w:t>
      </w:r>
      <w:bookmarkEnd w:id="9"/>
    </w:p>
    <w:p w:rsidR="004E7D93" w:rsidRPr="0043494F" w:rsidRDefault="004E7D93" w:rsidP="004E7D93">
      <w:pPr>
        <w:spacing w:before="0"/>
        <w:jc w:val="both"/>
        <w:rPr>
          <w:sz w:val="20"/>
        </w:rPr>
      </w:pPr>
      <w:r w:rsidRPr="0043494F">
        <w:rPr>
          <w:sz w:val="20"/>
        </w:rPr>
        <w:t xml:space="preserve">Nel corso del 2017 sono proseguite le attività di promozione della salute messe in atto dall’Azienda USL di Modena con lo scopo di rafforzare le iniziative di promozione della salute per favorire stili di vita salutari, sia nei confronti delle persone fragili che della popolazione in generale sia. </w:t>
      </w:r>
    </w:p>
    <w:p w:rsidR="004E7D93" w:rsidRPr="0043494F" w:rsidRDefault="004E7D93" w:rsidP="004E7D93">
      <w:pPr>
        <w:spacing w:before="0"/>
        <w:jc w:val="both"/>
        <w:rPr>
          <w:sz w:val="20"/>
        </w:rPr>
      </w:pPr>
      <w:r w:rsidRPr="0043494F">
        <w:rPr>
          <w:sz w:val="20"/>
        </w:rPr>
        <w:t xml:space="preserve">E’ stata redatta una Policy Aziendale per lo sviluppo di politiche per la salute attraverso la co-progettazione di strategie di promozione di benessere psico-fisico nei luoghi di vita e di lavoro, di contrasto allo sviluppo di patologie legate agli errati stili di vita e di intercettazione precoce del disagio mentale. La proposta è di cambiare, in maniera positiva e duratura, il contesto di vita della popolazione e le abitudini della stessa, favorendo la partecipazione attiva del cittadino nella definizione delle scelte che riguardano la salute per consentire di seguire uno stile di vita sano ed attivo. </w:t>
      </w:r>
    </w:p>
    <w:p w:rsidR="00DA56E4" w:rsidRPr="0043494F" w:rsidRDefault="004E7D93" w:rsidP="004E7D93">
      <w:pPr>
        <w:spacing w:before="0"/>
        <w:jc w:val="both"/>
        <w:rPr>
          <w:sz w:val="20"/>
        </w:rPr>
      </w:pPr>
      <w:r w:rsidRPr="0043494F">
        <w:rPr>
          <w:sz w:val="20"/>
        </w:rPr>
        <w:t xml:space="preserve">Il risultato dell’azione promossa dall’Azienda USL di Modena è frutto di una co-progettazione con numerosi attori presenti sul territorio provinciale. L’azienda sanitaria territoriale, nel promuovere cambiamenti negli ambienti di vita e di lavoro dei cittadini, </w:t>
      </w:r>
      <w:r w:rsidR="00DA56E4" w:rsidRPr="0043494F">
        <w:rPr>
          <w:sz w:val="20"/>
        </w:rPr>
        <w:t xml:space="preserve">ha stretto accordi con le Amministrazioni Locali, promuovendo iniziative che favoriscano l’attività motoria e la mobilità sostenibile, oltre che coordinando progetti educativi nel proprio territorio. </w:t>
      </w:r>
    </w:p>
    <w:p w:rsidR="00E27519" w:rsidRPr="0043494F" w:rsidRDefault="00DA56E4" w:rsidP="004E7D93">
      <w:pPr>
        <w:spacing w:before="0"/>
        <w:jc w:val="both"/>
        <w:rPr>
          <w:sz w:val="20"/>
        </w:rPr>
      </w:pPr>
      <w:r w:rsidRPr="0043494F">
        <w:rPr>
          <w:sz w:val="20"/>
        </w:rPr>
        <w:t xml:space="preserve">In questa cornice assume sempre più un ruolo da protagonista la </w:t>
      </w:r>
      <w:r w:rsidR="004E7D93" w:rsidRPr="0043494F">
        <w:rPr>
          <w:sz w:val="20"/>
        </w:rPr>
        <w:t>Cas</w:t>
      </w:r>
      <w:r w:rsidRPr="0043494F">
        <w:rPr>
          <w:sz w:val="20"/>
        </w:rPr>
        <w:t>a</w:t>
      </w:r>
      <w:r w:rsidR="004E7D93" w:rsidRPr="0043494F">
        <w:rPr>
          <w:sz w:val="20"/>
        </w:rPr>
        <w:t xml:space="preserve"> della Sa</w:t>
      </w:r>
      <w:r w:rsidRPr="0043494F">
        <w:rPr>
          <w:sz w:val="20"/>
        </w:rPr>
        <w:t>lute, quale contesto unitario che</w:t>
      </w:r>
      <w:r w:rsidR="004E7D93" w:rsidRPr="0043494F">
        <w:rPr>
          <w:sz w:val="20"/>
        </w:rPr>
        <w:t xml:space="preserve"> permette di concentrare il lavoro e l’intervento di una pluralità di figure professionali capaci di indirizzare messaggi di salute, così da centrare l’intervento, aumentando la risposta ed i risultati e riducendo la non partecipazione della </w:t>
      </w:r>
      <w:r w:rsidRPr="0043494F">
        <w:rPr>
          <w:sz w:val="20"/>
        </w:rPr>
        <w:t xml:space="preserve">comunità alle scelte di salute. </w:t>
      </w:r>
      <w:r w:rsidR="004E7D93" w:rsidRPr="0043494F">
        <w:rPr>
          <w:sz w:val="20"/>
        </w:rPr>
        <w:t>Il contesto, particolarmente favorevole, del setting “Case della Salute”, favorisce l’organizzazione di programmi di prevenzione e promozione della salute per cluster di utenti, siano questi individuati per fattori di rischio o perché affetti da patologie specifiche o siano cronici, che per l’intera popolazione che gravita attorno alla Casa della Salute stessa.</w:t>
      </w:r>
    </w:p>
    <w:p w:rsidR="00E27519" w:rsidRPr="0043494F" w:rsidRDefault="0003178C">
      <w:pPr>
        <w:pStyle w:val="Titolo3Verdana"/>
        <w:rPr>
          <w:rFonts w:asciiTheme="minorHAnsi" w:eastAsia="Calibri" w:hAnsiTheme="minorHAnsi"/>
        </w:rPr>
      </w:pPr>
      <w:bookmarkStart w:id="10" w:name="_Toc518040048"/>
      <w:r w:rsidRPr="0043494F">
        <w:rPr>
          <w:rFonts w:asciiTheme="minorHAnsi" w:eastAsia="Calibri" w:hAnsiTheme="minorHAnsi"/>
        </w:rPr>
        <w:t>1.1 Promozione della salute per favorire stili di vita salutari</w:t>
      </w:r>
      <w:bookmarkEnd w:id="10"/>
      <w:r w:rsidRPr="0043494F">
        <w:rPr>
          <w:rFonts w:asciiTheme="minorHAnsi" w:eastAsia="Calibri" w:hAnsiTheme="minorHAnsi"/>
        </w:rPr>
        <w:t xml:space="preserve"> </w:t>
      </w:r>
    </w:p>
    <w:p w:rsidR="00F43FFA" w:rsidRPr="0043494F" w:rsidRDefault="00F43FFA" w:rsidP="00F43FFA">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L'Azienda USL di Modena ha aderito al progetto regionale 1.2 "Promozione della salute nei luoghi di lavoro" del PRP 2015 - 2018 attraverso l'utilizzo di una scheda regionale, compilata dai medici competenti, effettuando attività di counseling motivazionale a 366 operatori, al fine di poter modificare i possibili comportamenti a rischio di patologie croniche. Tale attività di promozione della salute per gli operatori delle Aziende Sanitarie continuerà anche per gli anni 2018 e 2019.</w:t>
      </w:r>
    </w:p>
    <w:p w:rsidR="008F3211" w:rsidRPr="0043494F" w:rsidRDefault="008F3211" w:rsidP="008F3211">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Nel PRP 2015-18 “le progettualità afferenti al Setting Scuola sono orientate a sostenere un processo di promozione della salute, di prevenzione, ma anche di creazione, nella comunità e nei suoi membri, di un livello di competenza (empowerment) sul miglioramento del benessere psicofisico riconosciuto come uno dei determinanti più efficaci nel promuovere l’adozione di sani stili di vita”.</w:t>
      </w:r>
    </w:p>
    <w:p w:rsidR="000F5F50" w:rsidRPr="0043494F" w:rsidRDefault="000F5F50">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Sono stati diversi gli interventi ed i progetti messi in atto dall’Azienda USL di Modena per attività in ambito scolastico. Attraverso lo sviluppo di attività di co-progettazione con l’Ufficio Scolastico Provinciale è stato possibile attivare dei laboratori su tematiche emergenti (cyberbullismo, disturbi del comportamento alimentare, ludopatie, ecc). Sono stati molti gli adolescenti raggiunti dagli interventi di promozione alla salute e sessualità: su una popolazione residente in provincia di Modena in fascia di età 14-19 anni, pari a n. 38.425 persone, sono stati raggiunti da interventi di promozione della salute e sessualità n. 15.075 persone (39,2%).</w:t>
      </w:r>
    </w:p>
    <w:p w:rsidR="00513856" w:rsidRPr="0043494F" w:rsidRDefault="00513856" w:rsidP="00513856">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 xml:space="preserve">I Progetti di Comunità per la promozione di sane abitudini alimentari e di una regolare attività fisica rappresentano un contesto nel quale si concretizzano e si valorizzano le azioni educative e di promozione della salute. L’Azienda USL può intervenire nella formazione degli educatori sportivi e nel sostenere i loro sforzi per lo sviluppo di comportamenti virtuosi da parte degli iscritti. </w:t>
      </w:r>
    </w:p>
    <w:p w:rsidR="00513856" w:rsidRPr="0043494F" w:rsidRDefault="00513856" w:rsidP="00513856">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 xml:space="preserve">Sulle tematiche della lotta al doping, nel 2017 sono stati realizzati 50 eventi di formazione/informazione. Sono state eseguite 35 consulenze farmacologiche ad atleti. Sono stati realizzate 75 valutazioni del profilo ematochimico di atleti per la valutazione dello stato di salute nelle varie fasi della stagione sportiva per differenti discipline (pallavolo, ciclismo, triathlon), è stato </w:t>
      </w:r>
      <w:r w:rsidRPr="0043494F">
        <w:rPr>
          <w:rFonts w:asciiTheme="minorHAnsi" w:eastAsia="Calibri" w:hAnsiTheme="minorHAnsi"/>
          <w:sz w:val="20"/>
          <w:lang w:eastAsia="en-US"/>
        </w:rPr>
        <w:lastRenderedPageBreak/>
        <w:t>proposto, per la pubblicazione su rivista scientifica, un elaborato sull'interpretazione ed analisi dei dati ottenuti da tali valutazioni.</w:t>
      </w:r>
    </w:p>
    <w:p w:rsidR="00513856" w:rsidRPr="0043494F" w:rsidRDefault="00513856" w:rsidP="00513856">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L’Azienda USL di Modena lavora sulla promozione dell’attività fisica per la salute facilitando la realizzazione di gruppi di cammino (36 gruppi di cammino censiti in provincia, di cui 5 seguiti direttamente dal Servizio).</w:t>
      </w:r>
    </w:p>
    <w:p w:rsidR="00513856" w:rsidRPr="0043494F" w:rsidRDefault="00513856" w:rsidP="00513856">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Nel 2017 sono state effettuate 201 visite a pazienti disabili che praticano sport. L'obiettivo dell'attività è quello di facilitare l'inserimento del disabile nelle attività sportive e questo si è realizzato anche con la co-costruzione con le realtà territoriali, di una rete costituita da circa 70 società sportive.</w:t>
      </w:r>
    </w:p>
    <w:p w:rsidR="00513856" w:rsidRPr="0043494F" w:rsidRDefault="00513856" w:rsidP="00513856">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Prosegue il progetto “PsicAttivaMente” che prevede l'invio alla Medicina dello Sport da parte degli specialisti psichiatri di soggetti affetti da sindrome dissociativa e contemporaneamente affetti da sindrome metabolica e/o diabete, perché siano valutati e inseriti nelle attività di palestra. Circa 10 sono stati i soggetti inseriti nel percorso.</w:t>
      </w:r>
    </w:p>
    <w:p w:rsidR="00513856" w:rsidRPr="0043494F" w:rsidRDefault="00513856" w:rsidP="00513856">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Sono stati inoltre valutati, in relazione e secondo le modalità previste dalla convenzione tra Azienda USL ed Associazione Italiana Sclerosi Multipla (AISM) 15 soggetti, avviati anche a percorsi di attività motoria.</w:t>
      </w:r>
    </w:p>
    <w:p w:rsidR="008F3211" w:rsidRPr="0043494F" w:rsidRDefault="00513856">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Anche nel 2017 sono continuate le attività connesse al percorso regionale di prescrizione dell'esercizio fisico in prevenzione e terapia. Nel corso del 2017 sono stati visitati complessivamente 40 soggetti.</w:t>
      </w:r>
      <w:r w:rsidR="00DB601D" w:rsidRPr="0043494F">
        <w:rPr>
          <w:rFonts w:asciiTheme="minorHAnsi" w:eastAsia="Calibri" w:hAnsiTheme="minorHAnsi"/>
          <w:sz w:val="20"/>
          <w:lang w:eastAsia="en-US"/>
        </w:rPr>
        <w:t xml:space="preserve"> Al 31/12/17 risultano essere 32 le palestre iscritte negli elenchi delle “Palestre che Promuovono la Salute” e “Palestre che promuovono la salute e per l’Attività Motoria Adattata”.</w:t>
      </w:r>
    </w:p>
    <w:p w:rsidR="00E27519" w:rsidRPr="0043494F" w:rsidRDefault="0003178C">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Sono continuate le attività per la sensibilizz</w:t>
      </w:r>
      <w:r w:rsidR="008F3211" w:rsidRPr="0043494F">
        <w:rPr>
          <w:rFonts w:asciiTheme="minorHAnsi" w:eastAsia="Calibri" w:hAnsiTheme="minorHAnsi"/>
          <w:sz w:val="20"/>
          <w:lang w:eastAsia="en-US"/>
        </w:rPr>
        <w:t>azione e informazione sull’AIDS</w:t>
      </w:r>
      <w:r w:rsidRPr="0043494F">
        <w:rPr>
          <w:rFonts w:asciiTheme="minorHAnsi" w:eastAsia="Calibri" w:hAnsiTheme="minorHAnsi"/>
          <w:sz w:val="20"/>
          <w:lang w:eastAsia="en-US"/>
        </w:rPr>
        <w:t xml:space="preserve"> e</w:t>
      </w:r>
      <w:r w:rsidR="008F3211" w:rsidRPr="0043494F">
        <w:rPr>
          <w:rFonts w:asciiTheme="minorHAnsi" w:eastAsia="Calibri" w:hAnsiTheme="minorHAnsi"/>
          <w:sz w:val="20"/>
          <w:lang w:eastAsia="en-US"/>
        </w:rPr>
        <w:t xml:space="preserve"> delle </w:t>
      </w:r>
      <w:r w:rsidRPr="0043494F">
        <w:rPr>
          <w:rFonts w:asciiTheme="minorHAnsi" w:eastAsia="Calibri" w:hAnsiTheme="minorHAnsi"/>
          <w:sz w:val="20"/>
          <w:lang w:eastAsia="en-US"/>
        </w:rPr>
        <w:t xml:space="preserve">iniziative contro il fumo, </w:t>
      </w:r>
      <w:r w:rsidR="008F3211" w:rsidRPr="0043494F">
        <w:rPr>
          <w:rFonts w:asciiTheme="minorHAnsi" w:eastAsia="Calibri" w:hAnsiTheme="minorHAnsi"/>
          <w:sz w:val="20"/>
          <w:lang w:eastAsia="en-US"/>
        </w:rPr>
        <w:t>tramite l</w:t>
      </w:r>
      <w:r w:rsidRPr="0043494F">
        <w:rPr>
          <w:rFonts w:asciiTheme="minorHAnsi" w:eastAsia="Calibri" w:hAnsiTheme="minorHAnsi"/>
          <w:sz w:val="20"/>
          <w:lang w:eastAsia="en-US"/>
        </w:rPr>
        <w:t xml:space="preserve">'utilizzo delle piattaforme di comunicazione digitali aziendali (Facebook, Twitter, YouTube, App MyAUSL, Sito Web), per sensibilizzare </w:t>
      </w:r>
      <w:r w:rsidR="008F3211" w:rsidRPr="0043494F">
        <w:rPr>
          <w:rFonts w:asciiTheme="minorHAnsi" w:eastAsia="Calibri" w:hAnsiTheme="minorHAnsi"/>
          <w:sz w:val="20"/>
          <w:lang w:eastAsia="en-US"/>
        </w:rPr>
        <w:t>i cittadini</w:t>
      </w:r>
      <w:r w:rsidRPr="0043494F">
        <w:rPr>
          <w:rFonts w:asciiTheme="minorHAnsi" w:eastAsia="Calibri" w:hAnsiTheme="minorHAnsi"/>
          <w:sz w:val="20"/>
          <w:lang w:eastAsia="en-US"/>
        </w:rPr>
        <w:t xml:space="preserve"> sul tema della lotta al tabagismo.</w:t>
      </w:r>
    </w:p>
    <w:p w:rsidR="00624B78" w:rsidRPr="0043494F" w:rsidRDefault="0003178C" w:rsidP="00624B78">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Per quanto riguarda il</w:t>
      </w:r>
      <w:r w:rsidR="00624B78" w:rsidRPr="0043494F">
        <w:rPr>
          <w:rFonts w:asciiTheme="minorHAnsi" w:eastAsia="Calibri" w:hAnsiTheme="minorHAnsi"/>
          <w:sz w:val="20"/>
          <w:lang w:eastAsia="en-US"/>
        </w:rPr>
        <w:t xml:space="preserve"> contrasto alla violenza è stata realizzata attività di formazione ai MMG di Area Centro sugli screening per la violenza domestica in gravidanza delle donne in carico nei consultori familiari e sulle modalità di accesso e di presa in carico presso il centro “Liberiamoci dalla Violenza” (LDV) del consultorio di Modena. Partecipazione alla formazione regionale a cascata su tutti i distretti e i PS su accoglienza delle donne vittima di violenza di genere. Ad oggi hanno effettuato un accesso al centro LDV 253 persone dal 2011 (anno di apertura), 47 persone in carico nel 2017. In continuo aumento il monte ore di psicologia dedicato al centro anche alla luce della funzione di accompagnamento degli altri centri regionali.</w:t>
      </w:r>
    </w:p>
    <w:p w:rsidR="00E27519" w:rsidRPr="0043494F" w:rsidRDefault="00624B78">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Inoltre sono state diverse le iniziative di formazione sulle tematiche riguardanti il maltrattamento e abuso sui minori.</w:t>
      </w:r>
    </w:p>
    <w:p w:rsidR="00E27519" w:rsidRPr="0043494F" w:rsidRDefault="00E27519">
      <w:pPr>
        <w:spacing w:before="0"/>
        <w:jc w:val="both"/>
        <w:rPr>
          <w:rFonts w:eastAsia="Calibri"/>
          <w:b/>
          <w:sz w:val="20"/>
          <w:lang w:eastAsia="en-US"/>
        </w:rPr>
      </w:pPr>
    </w:p>
    <w:p w:rsidR="00E27519" w:rsidRPr="0043494F" w:rsidRDefault="0003178C">
      <w:pPr>
        <w:pStyle w:val="Titolo3Verdana"/>
        <w:rPr>
          <w:rFonts w:asciiTheme="minorHAnsi" w:eastAsia="Calibri" w:hAnsiTheme="minorHAnsi"/>
        </w:rPr>
      </w:pPr>
      <w:bookmarkStart w:id="11" w:name="_Toc518040049"/>
      <w:r w:rsidRPr="0043494F">
        <w:rPr>
          <w:rFonts w:asciiTheme="minorHAnsi" w:eastAsia="Calibri" w:hAnsiTheme="minorHAnsi"/>
        </w:rPr>
        <w:t>1.2 Programmi di prevenzione e diagnosi precoce oncologica</w:t>
      </w:r>
      <w:bookmarkEnd w:id="11"/>
    </w:p>
    <w:p w:rsidR="00E27519" w:rsidRPr="0043494F" w:rsidRDefault="0003178C">
      <w:pPr>
        <w:spacing w:before="0"/>
        <w:jc w:val="both"/>
        <w:rPr>
          <w:rFonts w:eastAsia="Calibri"/>
          <w:sz w:val="20"/>
          <w:lang w:eastAsia="en-US"/>
        </w:rPr>
      </w:pPr>
      <w:r w:rsidRPr="0043494F">
        <w:rPr>
          <w:rFonts w:eastAsia="Calibri"/>
          <w:sz w:val="20"/>
          <w:lang w:eastAsia="en-US"/>
        </w:rPr>
        <w:t xml:space="preserve">I </w:t>
      </w:r>
      <w:r w:rsidR="00314E63" w:rsidRPr="0043494F">
        <w:rPr>
          <w:rFonts w:eastAsia="Calibri"/>
          <w:sz w:val="20"/>
          <w:lang w:eastAsia="en-US"/>
        </w:rPr>
        <w:t>programmi di screening, nel 2017</w:t>
      </w:r>
      <w:r w:rsidRPr="0043494F">
        <w:rPr>
          <w:rFonts w:eastAsia="Calibri"/>
          <w:sz w:val="20"/>
          <w:lang w:eastAsia="en-US"/>
        </w:rPr>
        <w:t xml:space="preserve">, hanno mantenuto con regolarità una buona copertura degli inviti alla popolazione nelle fasce di età interessate.  Rispetto alla popolazione “target”, l’estensione di inviti ad effettuare gli screening è stata pari al </w:t>
      </w:r>
      <w:r w:rsidR="003732FE" w:rsidRPr="0043494F">
        <w:rPr>
          <w:rFonts w:eastAsia="Calibri"/>
          <w:sz w:val="20"/>
          <w:lang w:eastAsia="en-US"/>
        </w:rPr>
        <w:t>87</w:t>
      </w:r>
      <w:r w:rsidRPr="0043494F">
        <w:rPr>
          <w:rFonts w:eastAsia="Calibri"/>
          <w:sz w:val="20"/>
          <w:lang w:eastAsia="en-US"/>
        </w:rPr>
        <w:t>%</w:t>
      </w:r>
      <w:r w:rsidR="003732FE" w:rsidRPr="0043494F">
        <w:rPr>
          <w:rFonts w:eastAsia="Calibri"/>
          <w:sz w:val="20"/>
          <w:lang w:eastAsia="en-US"/>
        </w:rPr>
        <w:t xml:space="preserve"> per lo Screening Colon Retto</w:t>
      </w:r>
      <w:r w:rsidRPr="0043494F">
        <w:rPr>
          <w:rFonts w:eastAsia="Calibri"/>
          <w:sz w:val="20"/>
          <w:lang w:eastAsia="en-US"/>
        </w:rPr>
        <w:t>, 99,7% p</w:t>
      </w:r>
      <w:r w:rsidR="003732FE" w:rsidRPr="0043494F">
        <w:rPr>
          <w:rFonts w:eastAsia="Calibri"/>
          <w:sz w:val="20"/>
          <w:lang w:eastAsia="en-US"/>
        </w:rPr>
        <w:t>er lo Screening dell’Utero</w:t>
      </w:r>
      <w:r w:rsidRPr="0043494F">
        <w:rPr>
          <w:rFonts w:eastAsia="Calibri"/>
          <w:sz w:val="20"/>
          <w:lang w:eastAsia="en-US"/>
        </w:rPr>
        <w:t xml:space="preserve">. </w:t>
      </w:r>
      <w:r w:rsidR="003732FE" w:rsidRPr="0043494F">
        <w:rPr>
          <w:rFonts w:eastAsia="Calibri"/>
          <w:sz w:val="20"/>
          <w:lang w:eastAsia="en-US"/>
        </w:rPr>
        <w:t>P</w:t>
      </w:r>
      <w:r w:rsidRPr="0043494F">
        <w:rPr>
          <w:rFonts w:eastAsia="Calibri"/>
          <w:sz w:val="20"/>
          <w:lang w:eastAsia="en-US"/>
        </w:rPr>
        <w:t xml:space="preserve">er quanto riguarda lo Screening Mammografico </w:t>
      </w:r>
      <w:r w:rsidR="003732FE" w:rsidRPr="0043494F">
        <w:rPr>
          <w:rFonts w:eastAsia="Calibri"/>
          <w:sz w:val="20"/>
          <w:lang w:eastAsia="en-US"/>
        </w:rPr>
        <w:t>si è registrata un’estensione del 88</w:t>
      </w:r>
      <w:r w:rsidRPr="0043494F">
        <w:rPr>
          <w:rFonts w:eastAsia="Calibri"/>
          <w:sz w:val="20"/>
          <w:lang w:eastAsia="en-US"/>
        </w:rPr>
        <w:t>% per le donne con età compres</w:t>
      </w:r>
      <w:r w:rsidR="003732FE" w:rsidRPr="0043494F">
        <w:rPr>
          <w:rFonts w:eastAsia="Calibri"/>
          <w:sz w:val="20"/>
          <w:lang w:eastAsia="en-US"/>
        </w:rPr>
        <w:t>a tra i 45 e i 49 anni</w:t>
      </w:r>
      <w:r w:rsidRPr="0043494F">
        <w:rPr>
          <w:rFonts w:eastAsia="Calibri"/>
          <w:sz w:val="20"/>
          <w:lang w:eastAsia="en-US"/>
        </w:rPr>
        <w:t>, del 9</w:t>
      </w:r>
      <w:r w:rsidR="003732FE" w:rsidRPr="0043494F">
        <w:rPr>
          <w:rFonts w:eastAsia="Calibri"/>
          <w:sz w:val="20"/>
          <w:lang w:eastAsia="en-US"/>
        </w:rPr>
        <w:t>5</w:t>
      </w:r>
      <w:r w:rsidRPr="0043494F">
        <w:rPr>
          <w:rFonts w:eastAsia="Calibri"/>
          <w:sz w:val="20"/>
          <w:lang w:eastAsia="en-US"/>
        </w:rPr>
        <w:t>% per le donne con età compres</w:t>
      </w:r>
      <w:r w:rsidR="003732FE" w:rsidRPr="0043494F">
        <w:rPr>
          <w:rFonts w:eastAsia="Calibri"/>
          <w:sz w:val="20"/>
          <w:lang w:eastAsia="en-US"/>
        </w:rPr>
        <w:t>a tra i 50 e i 69 anni e del 93</w:t>
      </w:r>
      <w:r w:rsidRPr="0043494F">
        <w:rPr>
          <w:rFonts w:eastAsia="Calibri"/>
          <w:sz w:val="20"/>
          <w:lang w:eastAsia="en-US"/>
        </w:rPr>
        <w:t>% per le donne con età compres</w:t>
      </w:r>
      <w:r w:rsidR="003732FE" w:rsidRPr="0043494F">
        <w:rPr>
          <w:rFonts w:eastAsia="Calibri"/>
          <w:sz w:val="20"/>
          <w:lang w:eastAsia="en-US"/>
        </w:rPr>
        <w:t>a tra i 70 e i 74 anni</w:t>
      </w:r>
      <w:r w:rsidRPr="0043494F">
        <w:rPr>
          <w:rFonts w:eastAsia="Calibri"/>
          <w:sz w:val="20"/>
          <w:lang w:eastAsia="en-US"/>
        </w:rPr>
        <w:t xml:space="preserve">. </w:t>
      </w:r>
    </w:p>
    <w:p w:rsidR="00E20DCD" w:rsidRPr="0043494F" w:rsidRDefault="0003178C">
      <w:pPr>
        <w:spacing w:before="0"/>
        <w:jc w:val="both"/>
        <w:rPr>
          <w:rFonts w:eastAsia="Calibri"/>
          <w:sz w:val="20"/>
          <w:lang w:eastAsia="en-US"/>
        </w:rPr>
      </w:pPr>
      <w:r w:rsidRPr="0043494F">
        <w:rPr>
          <w:rFonts w:eastAsia="Calibri"/>
          <w:sz w:val="20"/>
          <w:lang w:eastAsia="en-US"/>
        </w:rPr>
        <w:t xml:space="preserve">In termini di adesione agli inviti, </w:t>
      </w:r>
      <w:r w:rsidR="00DB4F9A" w:rsidRPr="0043494F">
        <w:rPr>
          <w:rFonts w:eastAsia="Calibri"/>
          <w:sz w:val="20"/>
          <w:lang w:eastAsia="en-US"/>
        </w:rPr>
        <w:t xml:space="preserve">per </w:t>
      </w:r>
      <w:r w:rsidRPr="0043494F">
        <w:rPr>
          <w:rFonts w:eastAsia="Calibri"/>
          <w:sz w:val="20"/>
          <w:lang w:eastAsia="en-US"/>
        </w:rPr>
        <w:t xml:space="preserve">lo screening Colon Retto la percentuale di adesione è stata pari al </w:t>
      </w:r>
      <w:r w:rsidR="003732FE" w:rsidRPr="0043494F">
        <w:rPr>
          <w:rFonts w:eastAsia="Calibri"/>
          <w:sz w:val="20"/>
          <w:lang w:eastAsia="en-US"/>
        </w:rPr>
        <w:t>53%</w:t>
      </w:r>
      <w:r w:rsidRPr="0043494F">
        <w:rPr>
          <w:rFonts w:eastAsia="Calibri"/>
          <w:sz w:val="20"/>
          <w:lang w:eastAsia="en-US"/>
        </w:rPr>
        <w:t xml:space="preserve">, per lo Screening dell’Utero è stata pari al </w:t>
      </w:r>
      <w:r w:rsidR="003732FE" w:rsidRPr="0043494F">
        <w:rPr>
          <w:rFonts w:eastAsia="Calibri"/>
          <w:sz w:val="20"/>
          <w:lang w:eastAsia="en-US"/>
        </w:rPr>
        <w:t>68.9%</w:t>
      </w:r>
      <w:r w:rsidRPr="0043494F">
        <w:rPr>
          <w:rFonts w:eastAsia="Calibri"/>
          <w:sz w:val="20"/>
          <w:lang w:eastAsia="en-US"/>
        </w:rPr>
        <w:t>, per lo Screening Mammografi</w:t>
      </w:r>
      <w:r w:rsidR="003732FE" w:rsidRPr="0043494F">
        <w:rPr>
          <w:rFonts w:eastAsia="Calibri"/>
          <w:sz w:val="20"/>
          <w:lang w:eastAsia="en-US"/>
        </w:rPr>
        <w:t>co l’adesione è stata pari al 63</w:t>
      </w:r>
      <w:r w:rsidRPr="0043494F">
        <w:rPr>
          <w:rFonts w:eastAsia="Calibri"/>
          <w:sz w:val="20"/>
          <w:lang w:eastAsia="en-US"/>
        </w:rPr>
        <w:t>% per le donne con età compres</w:t>
      </w:r>
      <w:r w:rsidR="003732FE" w:rsidRPr="0043494F">
        <w:rPr>
          <w:rFonts w:eastAsia="Calibri"/>
          <w:sz w:val="20"/>
          <w:lang w:eastAsia="en-US"/>
        </w:rPr>
        <w:t>a tra i 45 e i 49 anni, 71</w:t>
      </w:r>
      <w:r w:rsidRPr="0043494F">
        <w:rPr>
          <w:rFonts w:eastAsia="Calibri"/>
          <w:sz w:val="20"/>
          <w:lang w:eastAsia="en-US"/>
        </w:rPr>
        <w:t>% per le donne con età compres</w:t>
      </w:r>
      <w:r w:rsidR="003732FE" w:rsidRPr="0043494F">
        <w:rPr>
          <w:rFonts w:eastAsia="Calibri"/>
          <w:sz w:val="20"/>
          <w:lang w:eastAsia="en-US"/>
        </w:rPr>
        <w:t>a tra i 50 e i 69 anni, 70</w:t>
      </w:r>
      <w:r w:rsidRPr="0043494F">
        <w:rPr>
          <w:rFonts w:eastAsia="Calibri"/>
          <w:sz w:val="20"/>
          <w:lang w:eastAsia="en-US"/>
        </w:rPr>
        <w:t>% per le donne con età compres</w:t>
      </w:r>
      <w:r w:rsidR="003732FE" w:rsidRPr="0043494F">
        <w:rPr>
          <w:rFonts w:eastAsia="Calibri"/>
          <w:sz w:val="20"/>
          <w:lang w:eastAsia="en-US"/>
        </w:rPr>
        <w:t>a tra i 70 e i 74 anni</w:t>
      </w:r>
      <w:r w:rsidRPr="0043494F">
        <w:rPr>
          <w:rFonts w:eastAsia="Calibri"/>
          <w:sz w:val="20"/>
          <w:lang w:eastAsia="en-US"/>
        </w:rPr>
        <w:t>.</w:t>
      </w:r>
      <w:r w:rsidR="00E20DCD" w:rsidRPr="0043494F">
        <w:rPr>
          <w:rFonts w:eastAsia="Calibri"/>
          <w:sz w:val="20"/>
          <w:lang w:eastAsia="en-US"/>
        </w:rPr>
        <w:t xml:space="preserve"> </w:t>
      </w:r>
    </w:p>
    <w:p w:rsidR="00E27519" w:rsidRPr="0043494F" w:rsidRDefault="00E20DCD">
      <w:pPr>
        <w:spacing w:before="0"/>
        <w:jc w:val="both"/>
        <w:rPr>
          <w:rFonts w:eastAsia="Calibri"/>
          <w:sz w:val="20"/>
          <w:lang w:eastAsia="en-US"/>
        </w:rPr>
      </w:pPr>
      <w:r w:rsidRPr="0043494F">
        <w:rPr>
          <w:rFonts w:eastAsia="Calibri"/>
          <w:sz w:val="20"/>
          <w:lang w:eastAsia="en-US"/>
        </w:rPr>
        <w:t xml:space="preserve"> L</w:t>
      </w:r>
      <w:r w:rsidR="003732FE" w:rsidRPr="0043494F">
        <w:rPr>
          <w:rFonts w:eastAsia="Calibri"/>
          <w:sz w:val="20"/>
          <w:lang w:eastAsia="en-US"/>
        </w:rPr>
        <w:t>’</w:t>
      </w:r>
      <w:r w:rsidR="00DB4F9A" w:rsidRPr="0043494F">
        <w:rPr>
          <w:rFonts w:eastAsia="Calibri"/>
          <w:sz w:val="20"/>
          <w:lang w:eastAsia="en-US"/>
        </w:rPr>
        <w:t>A</w:t>
      </w:r>
      <w:r w:rsidR="003732FE" w:rsidRPr="0043494F">
        <w:rPr>
          <w:rFonts w:eastAsia="Calibri"/>
          <w:sz w:val="20"/>
          <w:lang w:eastAsia="en-US"/>
        </w:rPr>
        <w:t xml:space="preserve">zienda USL di Modena ha avviato </w:t>
      </w:r>
      <w:r w:rsidR="00AC1C18" w:rsidRPr="0043494F">
        <w:rPr>
          <w:rFonts w:eastAsia="Calibri"/>
          <w:sz w:val="20"/>
          <w:lang w:eastAsia="en-US"/>
        </w:rPr>
        <w:t>nel 2017 varie iniziative per migliorare</w:t>
      </w:r>
      <w:r w:rsidR="00B05B9F">
        <w:rPr>
          <w:rFonts w:eastAsia="Calibri"/>
          <w:sz w:val="20"/>
          <w:lang w:eastAsia="en-US"/>
        </w:rPr>
        <w:t xml:space="preserve"> </w:t>
      </w:r>
      <w:r w:rsidR="003732FE" w:rsidRPr="0043494F">
        <w:rPr>
          <w:rFonts w:eastAsia="Calibri"/>
          <w:sz w:val="20"/>
          <w:lang w:eastAsia="en-US"/>
        </w:rPr>
        <w:t>le percentuali di estensione, adesione ed attesa di secondo livello, in modo da raggiungere i target def</w:t>
      </w:r>
      <w:r w:rsidRPr="0043494F">
        <w:rPr>
          <w:rFonts w:eastAsia="Calibri"/>
          <w:sz w:val="20"/>
          <w:lang w:eastAsia="en-US"/>
        </w:rPr>
        <w:t>initi dagli obiettivi regionali e superare alcune criticità rappresentate nei grafici seguenti.</w:t>
      </w:r>
    </w:p>
    <w:p w:rsidR="00E27519" w:rsidRPr="0043494F" w:rsidRDefault="00E27519">
      <w:pPr>
        <w:spacing w:before="0"/>
        <w:jc w:val="both"/>
        <w:rPr>
          <w:rFonts w:eastAsia="Calibri"/>
          <w:sz w:val="20"/>
          <w:lang w:eastAsia="en-US"/>
        </w:rPr>
      </w:pPr>
    </w:p>
    <w:p w:rsidR="00E27519" w:rsidRPr="0043494F" w:rsidRDefault="007C2F9B">
      <w:pPr>
        <w:spacing w:before="0"/>
        <w:jc w:val="center"/>
        <w:rPr>
          <w:rFonts w:eastAsia="Calibri"/>
          <w:b/>
          <w:sz w:val="20"/>
          <w:lang w:eastAsia="en-US"/>
        </w:rPr>
      </w:pPr>
      <w:r w:rsidRPr="0043494F">
        <w:rPr>
          <w:noProof/>
          <w:lang w:eastAsia="it-IT" w:bidi="ar-SA"/>
        </w:rPr>
        <w:lastRenderedPageBreak/>
        <w:drawing>
          <wp:inline distT="0" distB="0" distL="0" distR="0" wp14:anchorId="3CD33051" wp14:editId="2A9D76EF">
            <wp:extent cx="4572000" cy="2743200"/>
            <wp:effectExtent l="0" t="0" r="0" b="0"/>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2F9B" w:rsidRPr="0043494F" w:rsidRDefault="007C2F9B">
      <w:pPr>
        <w:spacing w:before="0"/>
        <w:jc w:val="center"/>
        <w:rPr>
          <w:rFonts w:eastAsia="Calibri"/>
          <w:b/>
          <w:sz w:val="20"/>
          <w:lang w:eastAsia="en-US"/>
        </w:rPr>
      </w:pPr>
    </w:p>
    <w:p w:rsidR="00E27519" w:rsidRPr="0043494F" w:rsidRDefault="00E27519">
      <w:pPr>
        <w:spacing w:before="0"/>
        <w:jc w:val="both"/>
        <w:rPr>
          <w:rFonts w:eastAsia="Calibri"/>
          <w:b/>
          <w:sz w:val="20"/>
          <w:lang w:eastAsia="en-US"/>
        </w:rPr>
      </w:pPr>
    </w:p>
    <w:p w:rsidR="00E27519" w:rsidRPr="0043494F" w:rsidRDefault="00E27519">
      <w:pPr>
        <w:spacing w:before="0"/>
        <w:jc w:val="both"/>
        <w:rPr>
          <w:rFonts w:eastAsia="Calibri"/>
          <w:b/>
          <w:sz w:val="20"/>
          <w:lang w:eastAsia="en-US"/>
        </w:rPr>
      </w:pPr>
    </w:p>
    <w:p w:rsidR="00E27519" w:rsidRPr="0043494F" w:rsidRDefault="003732FE">
      <w:pPr>
        <w:spacing w:before="0"/>
        <w:jc w:val="center"/>
        <w:rPr>
          <w:rFonts w:eastAsia="Calibri"/>
          <w:b/>
          <w:sz w:val="20"/>
          <w:lang w:eastAsia="en-US"/>
        </w:rPr>
      </w:pPr>
      <w:r w:rsidRPr="0043494F">
        <w:rPr>
          <w:noProof/>
          <w:lang w:eastAsia="it-IT" w:bidi="ar-SA"/>
        </w:rPr>
        <w:drawing>
          <wp:inline distT="0" distB="0" distL="0" distR="0" wp14:anchorId="148C4040" wp14:editId="28323EBC">
            <wp:extent cx="4572000" cy="2743200"/>
            <wp:effectExtent l="0" t="0" r="0" b="0"/>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732FE" w:rsidRPr="0043494F" w:rsidRDefault="003732FE">
      <w:pPr>
        <w:spacing w:before="0"/>
        <w:jc w:val="center"/>
        <w:rPr>
          <w:rFonts w:eastAsia="Calibri"/>
          <w:b/>
          <w:sz w:val="20"/>
          <w:lang w:eastAsia="en-US"/>
        </w:rPr>
      </w:pPr>
    </w:p>
    <w:p w:rsidR="00E27519" w:rsidRPr="0043494F" w:rsidRDefault="00E27519">
      <w:pPr>
        <w:spacing w:before="0"/>
        <w:jc w:val="both"/>
        <w:rPr>
          <w:rFonts w:eastAsia="Calibri"/>
          <w:b/>
          <w:sz w:val="20"/>
          <w:lang w:eastAsia="en-US"/>
        </w:rPr>
      </w:pPr>
    </w:p>
    <w:p w:rsidR="00E27519" w:rsidRPr="0043494F" w:rsidRDefault="00E27519">
      <w:pPr>
        <w:spacing w:before="0"/>
        <w:jc w:val="both"/>
        <w:rPr>
          <w:rFonts w:eastAsia="Calibri"/>
          <w:b/>
          <w:sz w:val="20"/>
          <w:lang w:eastAsia="en-US"/>
        </w:rPr>
      </w:pPr>
    </w:p>
    <w:p w:rsidR="00E27519" w:rsidRPr="0043494F" w:rsidRDefault="00E27519">
      <w:pPr>
        <w:spacing w:before="0"/>
        <w:jc w:val="both"/>
        <w:rPr>
          <w:rFonts w:eastAsia="Calibri"/>
          <w:b/>
          <w:sz w:val="20"/>
          <w:lang w:eastAsia="en-US"/>
        </w:rPr>
      </w:pPr>
    </w:p>
    <w:p w:rsidR="00E27519" w:rsidRPr="0043494F" w:rsidRDefault="007C2F9B">
      <w:pPr>
        <w:spacing w:before="0"/>
        <w:jc w:val="center"/>
        <w:rPr>
          <w:rFonts w:eastAsia="Calibri"/>
          <w:b/>
          <w:sz w:val="20"/>
          <w:lang w:eastAsia="en-US"/>
        </w:rPr>
      </w:pPr>
      <w:r w:rsidRPr="0043494F">
        <w:rPr>
          <w:noProof/>
          <w:lang w:eastAsia="it-IT" w:bidi="ar-SA"/>
        </w:rPr>
        <w:lastRenderedPageBreak/>
        <w:drawing>
          <wp:inline distT="0" distB="0" distL="0" distR="0" wp14:anchorId="4C7DC47A" wp14:editId="7E692AAF">
            <wp:extent cx="6480810" cy="3189605"/>
            <wp:effectExtent l="0" t="0" r="15240" b="10795"/>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C2F9B" w:rsidRPr="0043494F" w:rsidRDefault="007C2F9B">
      <w:pPr>
        <w:spacing w:before="0"/>
        <w:jc w:val="center"/>
        <w:rPr>
          <w:rFonts w:eastAsia="Calibri"/>
          <w:b/>
          <w:sz w:val="20"/>
          <w:lang w:eastAsia="en-US"/>
        </w:rPr>
      </w:pPr>
    </w:p>
    <w:p w:rsidR="00E27519" w:rsidRPr="0043494F" w:rsidRDefault="00E27519">
      <w:pPr>
        <w:spacing w:before="0"/>
        <w:jc w:val="center"/>
        <w:rPr>
          <w:rFonts w:eastAsia="Calibri"/>
          <w:b/>
          <w:sz w:val="20"/>
          <w:lang w:eastAsia="en-US"/>
        </w:rPr>
      </w:pPr>
    </w:p>
    <w:p w:rsidR="00E27519" w:rsidRPr="0043494F" w:rsidRDefault="00E27519">
      <w:pPr>
        <w:spacing w:before="0"/>
        <w:jc w:val="center"/>
        <w:rPr>
          <w:rFonts w:eastAsia="Calibri"/>
          <w:b/>
          <w:sz w:val="20"/>
          <w:lang w:eastAsia="en-US"/>
        </w:rPr>
      </w:pPr>
    </w:p>
    <w:p w:rsidR="00E27519" w:rsidRPr="0043494F" w:rsidRDefault="0003178C">
      <w:pPr>
        <w:pStyle w:val="Titolo3Verdana"/>
        <w:rPr>
          <w:rFonts w:asciiTheme="minorHAnsi" w:eastAsia="Calibri" w:hAnsiTheme="minorHAnsi"/>
        </w:rPr>
      </w:pPr>
      <w:bookmarkStart w:id="12" w:name="_Toc518040050"/>
      <w:r w:rsidRPr="0043494F">
        <w:rPr>
          <w:rFonts w:asciiTheme="minorHAnsi" w:eastAsia="Calibri" w:hAnsiTheme="minorHAnsi"/>
        </w:rPr>
        <w:t>1.3 Sanità Pubblica e prevenzione delle malattie</w:t>
      </w:r>
      <w:bookmarkEnd w:id="12"/>
      <w:r w:rsidRPr="0043494F">
        <w:rPr>
          <w:rFonts w:asciiTheme="minorHAnsi" w:eastAsia="Calibri" w:hAnsiTheme="minorHAnsi"/>
        </w:rPr>
        <w:t xml:space="preserve"> </w:t>
      </w:r>
    </w:p>
    <w:p w:rsidR="00F466A8" w:rsidRPr="0043494F" w:rsidRDefault="00F466A8" w:rsidP="003644A7">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Secondo le indicazioni fornite dal Piano Locale Attuativo (PLA) 2016-2018 del Piano Regionale della Prevenzione (PRP), le Aziende Sanitarie si impegnano a fornire il contributo previsto al raggiungimento degli obiettivi regionali per l’attuazione degli interventi di prevenzione e promozione della salute individuati nei principali setting del PRP (Piano Regionale della Prevenzione) 2015-2018. Il PRP individua una serie di indicatori rilevanti (“indicatori sentinella”), condivisi a livello nazionale.</w:t>
      </w:r>
    </w:p>
    <w:p w:rsidR="00F466A8" w:rsidRPr="0043494F" w:rsidRDefault="00F466A8" w:rsidP="00F466A8">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Gli indicatori sentinella dei 68 progetti del PRP sono verificati in parte a livello locale e in parte a livello regionale. Secondo quanto previsto dal PLA (PRP) per gli indicatori sentinella lo standard di ogni singolo indicatore si considera raggiunto se il valore osservato non si discosta di più del 20 % rispetto all'atteso, pertanto % di indicatori sentinella con valore conseguito &gt; = 80 %; obiettivo &gt; 95 %. Nel 2017, su 44 indicatori sentinella 42 hanno raggiunto completamente il valore atteso, 1 lo ha raggiunto parzialmente (ma in misura superiore all'80%) e 1 lo ha raggiunto in misura inferiore all'80%. Pertanto la percentuale di indicatori sentinella con valore conseguito&gt;= 80% è risultata del 97,7% (43/44), superiore all'obiettivo atteso del 95%</w:t>
      </w:r>
    </w:p>
    <w:p w:rsidR="003644A7" w:rsidRPr="0043494F" w:rsidRDefault="003644A7" w:rsidP="003644A7">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Nel corso del 2017 l’attività vaccinale pediatrica è stata caratterizzata dalla implementazione del nuovo calendario vaccinale con l’introduzione della vaccinazione contro il meningococco B, offerta con un calendario a 4 dosi, dall’offerta della vaccinazione contro la varicella ai nati del 2016 e a tutte le coorti dell’età infantile non ancora immunizzate naturalmente, infine della vaccinazione contro il Rotavirus offerto gratuitamente alle categorie a rischio e comunque a chiunque tra nuovi nati ne facesse richiesta.</w:t>
      </w:r>
    </w:p>
    <w:p w:rsidR="003644A7" w:rsidRPr="0043494F" w:rsidRDefault="003644A7" w:rsidP="003644A7">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L’offerta della vaccinazione contro il Papillomavirus alla coorte dei maschi del 2006 è invece iniziata in tutto il territorio provinciale nel mese di dicembre: la coorte verrà recuperata nel corso del 2018.</w:t>
      </w:r>
    </w:p>
    <w:p w:rsidR="003644A7" w:rsidRPr="0043494F" w:rsidRDefault="003644A7" w:rsidP="003644A7">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L’altro fenomeno che ha caratterizzato il 2017 è stata, nell’ambito vaccinale pediatrico, la richiesta di vaccinazioni contro il meningococco B e ACWY in copayment, attività che ha visto l’attivazione di risorse mediche ed infermieristiche aggiuntive portando all’erogazione nel corso dell’anno di oltre 30.000 dosi.</w:t>
      </w:r>
    </w:p>
    <w:p w:rsidR="003644A7" w:rsidRPr="0043494F" w:rsidRDefault="003644A7" w:rsidP="003644A7">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lastRenderedPageBreak/>
        <w:t>Come si può vedere dal grafico sottostante, a fronte di una riduzione della natalità si è osservato nel 2017 un incremento estremamente consistente delle dosi vaccinali effettuate.</w:t>
      </w:r>
    </w:p>
    <w:p w:rsidR="003644A7" w:rsidRPr="0043494F" w:rsidRDefault="003644A7" w:rsidP="000A3EBB">
      <w:pPr>
        <w:spacing w:before="0"/>
        <w:jc w:val="both"/>
        <w:rPr>
          <w:rFonts w:asciiTheme="minorHAnsi" w:eastAsia="Calibri" w:hAnsiTheme="minorHAnsi"/>
          <w:sz w:val="20"/>
          <w:lang w:eastAsia="en-US"/>
        </w:rPr>
      </w:pPr>
    </w:p>
    <w:p w:rsidR="003644A7" w:rsidRPr="0043494F" w:rsidRDefault="003644A7" w:rsidP="003644A7">
      <w:pPr>
        <w:spacing w:before="0"/>
        <w:jc w:val="center"/>
        <w:rPr>
          <w:rFonts w:asciiTheme="minorHAnsi" w:eastAsia="Calibri" w:hAnsiTheme="minorHAnsi"/>
          <w:sz w:val="20"/>
          <w:lang w:eastAsia="en-US"/>
        </w:rPr>
      </w:pPr>
      <w:r w:rsidRPr="0043494F">
        <w:rPr>
          <w:noProof/>
          <w:lang w:eastAsia="it-IT" w:bidi="ar-SA"/>
        </w:rPr>
        <w:drawing>
          <wp:inline distT="0" distB="0" distL="0" distR="0" wp14:anchorId="5F378059" wp14:editId="328C747F">
            <wp:extent cx="5381625" cy="3486150"/>
            <wp:effectExtent l="0" t="0" r="9525" b="0"/>
            <wp:docPr id="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13E13" w:rsidRPr="0043494F" w:rsidRDefault="00B13E13" w:rsidP="00B13E13">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Per quanto riguarda la copertura vaccinale per le vaccinazioni obbligatorie nell'infanzia e nell'adolescenza, come da obiettivi DGR 830/17:</w:t>
      </w:r>
    </w:p>
    <w:p w:rsidR="00B13E13" w:rsidRPr="0043494F" w:rsidRDefault="00B13E13" w:rsidP="00B13E13">
      <w:pPr>
        <w:pStyle w:val="Paragrafoelenco"/>
        <w:numPr>
          <w:ilvl w:val="0"/>
          <w:numId w:val="34"/>
        </w:num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copertura vaccinale per vaccinazioni obbligatorie nell'infanzia e adolescenza (al 24 mese) superiore al 95%; MPR è a livelli inferiori ma in deciso incremento rispetto al 2016;</w:t>
      </w:r>
    </w:p>
    <w:p w:rsidR="00B13E13" w:rsidRPr="0043494F" w:rsidRDefault="00B13E13" w:rsidP="00B13E13">
      <w:pPr>
        <w:pStyle w:val="Paragrafoelenco"/>
        <w:numPr>
          <w:ilvl w:val="0"/>
          <w:numId w:val="34"/>
        </w:num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meningococco B ai nuovi nati, al 1° anno superiore all’80% (obiettivo &gt; 60 %);</w:t>
      </w:r>
    </w:p>
    <w:p w:rsidR="00B13E13" w:rsidRPr="0043494F" w:rsidRDefault="00B13E13" w:rsidP="00B13E13">
      <w:pPr>
        <w:pStyle w:val="Paragrafoelenco"/>
        <w:numPr>
          <w:ilvl w:val="0"/>
          <w:numId w:val="34"/>
        </w:num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copertura vaccinale per la vaccinazione contro Papillomavirus HPV dei maschi della coorte di nascita 2006 &gt; 75% (come da indicazione regionale, la coorte dei maschi è stata iniziata a dicembre 2017 e sarà rendicontata a fine 2018);</w:t>
      </w:r>
    </w:p>
    <w:p w:rsidR="00B13E13" w:rsidRPr="0043494F" w:rsidRDefault="00B13E13" w:rsidP="00B13E13">
      <w:pPr>
        <w:pStyle w:val="Paragrafoelenco"/>
        <w:numPr>
          <w:ilvl w:val="0"/>
          <w:numId w:val="34"/>
        </w:num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copertura vaccinale antiinfluenzale nella popolazione dei &gt; = 65enni: l’Azienda USL di Modena ha registrato il 55.2% a fronte del 54,6% anno 2016.</w:t>
      </w:r>
    </w:p>
    <w:p w:rsidR="00E27519" w:rsidRPr="0043494F" w:rsidRDefault="0003178C" w:rsidP="00B13E13">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Relativamente all’attività di vigilanza e controllo sono stati raggiunti gli obiettivi di copertura fissati dalla Regione in diversi ambiti: cantieri edili, aziende agricole, strutture sanitarie, impianti natatori.</w:t>
      </w:r>
    </w:p>
    <w:p w:rsidR="008B358F" w:rsidRDefault="008B358F" w:rsidP="00B13E13">
      <w:pPr>
        <w:spacing w:before="0"/>
        <w:jc w:val="both"/>
        <w:rPr>
          <w:rFonts w:asciiTheme="minorHAnsi" w:eastAsia="Calibri" w:hAnsiTheme="minorHAnsi"/>
          <w:sz w:val="20"/>
          <w:lang w:eastAsia="en-US"/>
        </w:rPr>
      </w:pPr>
      <w:r w:rsidRPr="0043494F">
        <w:rPr>
          <w:rFonts w:asciiTheme="minorHAnsi" w:eastAsia="Calibri" w:hAnsiTheme="minorHAnsi"/>
          <w:sz w:val="20"/>
          <w:lang w:eastAsia="en-US"/>
        </w:rPr>
        <w:t xml:space="preserve">Per quanto riguarda la copertura vaccinale della popolazione ultra 65enne per la campagna 2017/2018, </w:t>
      </w:r>
      <w:r w:rsidR="00EC2BB7" w:rsidRPr="0043494F">
        <w:rPr>
          <w:rFonts w:asciiTheme="minorHAnsi" w:eastAsia="Calibri" w:hAnsiTheme="minorHAnsi"/>
          <w:sz w:val="20"/>
          <w:lang w:eastAsia="en-US"/>
        </w:rPr>
        <w:t>nel territorio modenese sono state vaccinate 87.395 persone con età &gt;= 65anni sul totale di 157.874. C</w:t>
      </w:r>
      <w:r w:rsidRPr="0043494F">
        <w:rPr>
          <w:rFonts w:asciiTheme="minorHAnsi" w:eastAsia="Calibri" w:hAnsiTheme="minorHAnsi"/>
          <w:sz w:val="20"/>
          <w:lang w:eastAsia="en-US"/>
        </w:rPr>
        <w:t>ome si evince dal grafico successivo, l’Azienda USL di Modena si posiziona al 55.4%, dato superiore alla media regionale 53.2%.</w:t>
      </w:r>
    </w:p>
    <w:p w:rsidR="008B358F" w:rsidRDefault="008B358F" w:rsidP="00B13E13">
      <w:pPr>
        <w:spacing w:before="0"/>
        <w:jc w:val="both"/>
        <w:rPr>
          <w:rFonts w:asciiTheme="minorHAnsi" w:eastAsia="Calibri" w:hAnsiTheme="minorHAnsi"/>
          <w:sz w:val="20"/>
          <w:lang w:eastAsia="en-US"/>
        </w:rPr>
      </w:pPr>
    </w:p>
    <w:p w:rsidR="00B13E13" w:rsidRDefault="008B358F" w:rsidP="008B358F">
      <w:pPr>
        <w:spacing w:before="0"/>
        <w:jc w:val="center"/>
        <w:rPr>
          <w:rFonts w:asciiTheme="minorHAnsi" w:eastAsia="Calibri" w:hAnsiTheme="minorHAnsi"/>
          <w:sz w:val="20"/>
          <w:lang w:eastAsia="en-US"/>
        </w:rPr>
      </w:pPr>
      <w:r>
        <w:rPr>
          <w:noProof/>
          <w:lang w:eastAsia="it-IT" w:bidi="ar-SA"/>
        </w:rPr>
        <w:lastRenderedPageBreak/>
        <w:drawing>
          <wp:inline distT="0" distB="0" distL="0" distR="0" wp14:anchorId="1C260249" wp14:editId="4974909F">
            <wp:extent cx="4572000" cy="2743200"/>
            <wp:effectExtent l="0" t="0" r="0" b="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55CFE" w:rsidRDefault="00255CFE" w:rsidP="008B358F">
      <w:pPr>
        <w:spacing w:before="0"/>
        <w:rPr>
          <w:rFonts w:asciiTheme="minorHAnsi" w:eastAsia="Calibri" w:hAnsiTheme="minorHAnsi"/>
          <w:sz w:val="20"/>
          <w:lang w:eastAsia="en-US"/>
        </w:rPr>
      </w:pPr>
    </w:p>
    <w:p w:rsidR="008B358F" w:rsidRDefault="007B1099" w:rsidP="008B358F">
      <w:pPr>
        <w:spacing w:before="0"/>
        <w:rPr>
          <w:rFonts w:asciiTheme="minorHAnsi" w:eastAsia="Calibri" w:hAnsiTheme="minorHAnsi"/>
          <w:sz w:val="20"/>
          <w:lang w:eastAsia="en-US"/>
        </w:rPr>
      </w:pPr>
      <w:r w:rsidRPr="0043494F">
        <w:rPr>
          <w:rFonts w:asciiTheme="minorHAnsi" w:eastAsia="Calibri" w:hAnsiTheme="minorHAnsi"/>
          <w:sz w:val="20"/>
          <w:lang w:eastAsia="en-US"/>
        </w:rPr>
        <w:t xml:space="preserve">In merito alla copertura vaccinale degli operatori sanitari, campagna 2017/2018, l’Azienda USL di Modena ha </w:t>
      </w:r>
      <w:r w:rsidR="006B5085" w:rsidRPr="0043494F">
        <w:rPr>
          <w:rFonts w:asciiTheme="minorHAnsi" w:eastAsia="Calibri" w:hAnsiTheme="minorHAnsi"/>
          <w:sz w:val="20"/>
          <w:lang w:eastAsia="en-US"/>
        </w:rPr>
        <w:t xml:space="preserve">realizzato numerose iniziative integrate (tra le quali formazione operatori, informazione e comunicazione mirata, </w:t>
      </w:r>
      <w:r w:rsidR="001322CE" w:rsidRPr="0043494F">
        <w:rPr>
          <w:rFonts w:asciiTheme="minorHAnsi" w:eastAsia="Calibri" w:hAnsiTheme="minorHAnsi"/>
          <w:sz w:val="20"/>
          <w:lang w:eastAsia="en-US"/>
        </w:rPr>
        <w:t xml:space="preserve">accesso semplificato ed esteso nel tempo </w:t>
      </w:r>
      <w:r w:rsidR="006B5085" w:rsidRPr="0043494F">
        <w:rPr>
          <w:rFonts w:asciiTheme="minorHAnsi" w:eastAsia="Calibri" w:hAnsiTheme="minorHAnsi"/>
          <w:sz w:val="20"/>
          <w:lang w:eastAsia="en-US"/>
        </w:rPr>
        <w:t>delle sedi vaccinali</w:t>
      </w:r>
      <w:r w:rsidR="001322CE" w:rsidRPr="0043494F">
        <w:rPr>
          <w:rFonts w:asciiTheme="minorHAnsi" w:eastAsia="Calibri" w:hAnsiTheme="minorHAnsi"/>
          <w:sz w:val="20"/>
          <w:lang w:eastAsia="en-US"/>
        </w:rPr>
        <w:t xml:space="preserve"> agli operatori</w:t>
      </w:r>
      <w:r w:rsidR="006B5085" w:rsidRPr="0043494F">
        <w:rPr>
          <w:rFonts w:asciiTheme="minorHAnsi" w:eastAsia="Calibri" w:hAnsiTheme="minorHAnsi"/>
          <w:sz w:val="20"/>
          <w:lang w:eastAsia="en-US"/>
        </w:rPr>
        <w:t xml:space="preserve">) </w:t>
      </w:r>
      <w:r w:rsidR="00C16D5B" w:rsidRPr="0043494F">
        <w:rPr>
          <w:rFonts w:asciiTheme="minorHAnsi" w:eastAsia="Calibri" w:hAnsiTheme="minorHAnsi"/>
          <w:sz w:val="20"/>
          <w:lang w:eastAsia="en-US"/>
        </w:rPr>
        <w:t xml:space="preserve">che hanno portato a una % di vaccinazione del </w:t>
      </w:r>
      <w:r w:rsidRPr="0043494F">
        <w:rPr>
          <w:rFonts w:asciiTheme="minorHAnsi" w:eastAsia="Calibri" w:hAnsiTheme="minorHAnsi"/>
          <w:sz w:val="20"/>
          <w:lang w:eastAsia="en-US"/>
        </w:rPr>
        <w:t xml:space="preserve">37.4% degli operatori sanitari, </w:t>
      </w:r>
      <w:r w:rsidR="00C16D5B" w:rsidRPr="0043494F">
        <w:rPr>
          <w:rFonts w:asciiTheme="minorHAnsi" w:eastAsia="Calibri" w:hAnsiTheme="minorHAnsi"/>
          <w:sz w:val="20"/>
          <w:lang w:eastAsia="en-US"/>
        </w:rPr>
        <w:t xml:space="preserve">dato migliore di tutta la RER, </w:t>
      </w:r>
      <w:r w:rsidRPr="0043494F">
        <w:rPr>
          <w:rFonts w:asciiTheme="minorHAnsi" w:eastAsia="Calibri" w:hAnsiTheme="minorHAnsi"/>
          <w:sz w:val="20"/>
          <w:lang w:eastAsia="en-US"/>
        </w:rPr>
        <w:t>contro il 29.6% della media regionale.</w:t>
      </w:r>
    </w:p>
    <w:p w:rsidR="007B1099" w:rsidRDefault="007B1099" w:rsidP="007B1099">
      <w:pPr>
        <w:spacing w:before="0"/>
        <w:jc w:val="center"/>
        <w:rPr>
          <w:rFonts w:asciiTheme="minorHAnsi" w:eastAsia="Calibri" w:hAnsiTheme="minorHAnsi"/>
          <w:sz w:val="20"/>
          <w:lang w:eastAsia="en-US"/>
        </w:rPr>
      </w:pPr>
      <w:r>
        <w:rPr>
          <w:noProof/>
          <w:lang w:eastAsia="it-IT" w:bidi="ar-SA"/>
        </w:rPr>
        <w:drawing>
          <wp:inline distT="0" distB="0" distL="0" distR="0" wp14:anchorId="40BBAC0C" wp14:editId="17DCEE78">
            <wp:extent cx="4572000" cy="2743200"/>
            <wp:effectExtent l="0" t="0" r="0" b="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12FFD" w:rsidRDefault="00B56DE7" w:rsidP="007B1099">
      <w:pPr>
        <w:spacing w:before="0"/>
        <w:jc w:val="center"/>
        <w:rPr>
          <w:rFonts w:asciiTheme="minorHAnsi" w:eastAsia="Calibri" w:hAnsiTheme="minorHAnsi"/>
          <w:sz w:val="20"/>
          <w:lang w:eastAsia="en-US"/>
        </w:rPr>
      </w:pPr>
      <w:r>
        <w:rPr>
          <w:noProof/>
          <w:lang w:eastAsia="it-IT" w:bidi="ar-SA"/>
        </w:rPr>
        <w:lastRenderedPageBreak/>
        <w:drawing>
          <wp:inline distT="0" distB="0" distL="0" distR="0" wp14:anchorId="17BF0119" wp14:editId="48BA10AD">
            <wp:extent cx="4989293" cy="3251005"/>
            <wp:effectExtent l="0" t="0" r="1905" b="6985"/>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0DF7" w:rsidRDefault="00360DF7" w:rsidP="007B1099">
      <w:pPr>
        <w:spacing w:before="0"/>
        <w:jc w:val="center"/>
        <w:rPr>
          <w:rFonts w:asciiTheme="minorHAnsi" w:eastAsia="Calibri" w:hAnsiTheme="minorHAnsi"/>
          <w:sz w:val="20"/>
          <w:lang w:eastAsia="en-US"/>
        </w:rPr>
      </w:pPr>
    </w:p>
    <w:p w:rsidR="00E27519" w:rsidRDefault="0003178C">
      <w:pPr>
        <w:pStyle w:val="Titolo3Verdana"/>
        <w:rPr>
          <w:rFonts w:asciiTheme="minorHAnsi" w:eastAsia="Calibri" w:hAnsiTheme="minorHAnsi"/>
        </w:rPr>
      </w:pPr>
      <w:bookmarkStart w:id="13" w:name="_Toc518040051"/>
      <w:r>
        <w:rPr>
          <w:rFonts w:asciiTheme="minorHAnsi" w:eastAsia="Calibri" w:hAnsiTheme="minorHAnsi"/>
        </w:rPr>
        <w:t>1.4 Salute Mentale e Dipendenze Patologiche e Promozione e Tutela della Salute nelle carceri</w:t>
      </w:r>
      <w:bookmarkEnd w:id="13"/>
    </w:p>
    <w:p w:rsidR="00C16D5B" w:rsidRPr="00255CFE" w:rsidRDefault="0003178C">
      <w:pPr>
        <w:spacing w:before="0"/>
        <w:jc w:val="both"/>
        <w:rPr>
          <w:rFonts w:eastAsia="Calibri"/>
          <w:sz w:val="20"/>
          <w:lang w:eastAsia="en-US"/>
        </w:rPr>
      </w:pPr>
      <w:r w:rsidRPr="00255CFE">
        <w:rPr>
          <w:rFonts w:eastAsia="Calibri"/>
          <w:sz w:val="20"/>
          <w:lang w:eastAsia="en-US"/>
        </w:rPr>
        <w:t>Nel 2016, con la Delibera n. 040 del 09/03/2016, il Direttore Generale ha approvato un protocollo d’intesa tra Azienda USL di Modena e Comune di Carpi, per la definizione delle sedi destinate a nuovi servizi sanitari, che prevede tra l'altro la creazione di una residenza sanitaria psichiatrica a trattamento intensivo. La realizzazione del progetto determinerà a regime l’ampliamento del piano terra della Palazzina attuale sede dei Servizi della Salute Mentale Adulti presso l’Ospedale di Carpi, come sede delle attività di SPDC e di RTI, rivolti all’Area Nord. La finalità della struttura nell'assetto definitivo è rappresentata dalla presa in carico dell’utenza che consenta la piena integrazione e continuità di diversi setting assistenziali, includendo l’attività di Residenza Sanitaria Psichiatrica e mantenendo il già presente Servizio di Diagnosi e Cura. La struttura di ricovero ospedaliero e residenziale di Carpi, a regime, si iscriverà nella rete provinciale complessiva delle strutture di ricovero e residenziali psichiatriche dell'Azienda per soddisfare completamente il fabbisogno dell'Area Nord.</w:t>
      </w:r>
      <w:r w:rsidR="00BD5259" w:rsidRPr="00255CFE">
        <w:rPr>
          <w:rFonts w:eastAsia="Calibri"/>
          <w:sz w:val="20"/>
          <w:lang w:eastAsia="en-US"/>
        </w:rPr>
        <w:t xml:space="preserve"> Nel febbraio 2017 è stata avviata la sperimentazione dell’attività integrata SPDC e RTI presso l’Ospedale di Carpi, </w:t>
      </w:r>
      <w:r w:rsidR="00C16D5B" w:rsidRPr="00255CFE">
        <w:rPr>
          <w:rFonts w:eastAsia="Calibri"/>
          <w:sz w:val="20"/>
          <w:lang w:eastAsia="en-US"/>
        </w:rPr>
        <w:t xml:space="preserve">trasferitosi l’SPDC </w:t>
      </w:r>
      <w:r w:rsidR="00BD5259" w:rsidRPr="00255CFE">
        <w:rPr>
          <w:rFonts w:eastAsia="Calibri"/>
          <w:sz w:val="20"/>
          <w:lang w:eastAsia="en-US"/>
        </w:rPr>
        <w:t>in una sede temporanea nell’Ospedale, che d</w:t>
      </w:r>
      <w:r w:rsidR="00C16D5B" w:rsidRPr="00255CFE">
        <w:rPr>
          <w:rFonts w:eastAsia="Calibri"/>
          <w:sz w:val="20"/>
          <w:lang w:eastAsia="en-US"/>
        </w:rPr>
        <w:t>urerà complessivamente 24 mesi e che consente la realizzazione dei lavori di risistemazione della sede (iniziati a febbraio 2018 dopo la gara e alcuni lavori preliminari).</w:t>
      </w:r>
    </w:p>
    <w:p w:rsidR="00E27519" w:rsidRPr="00255CFE" w:rsidRDefault="00C16D5B">
      <w:pPr>
        <w:spacing w:before="0"/>
        <w:jc w:val="both"/>
        <w:rPr>
          <w:rFonts w:eastAsia="Calibri"/>
          <w:sz w:val="20"/>
          <w:lang w:eastAsia="en-US"/>
        </w:rPr>
      </w:pPr>
      <w:r w:rsidRPr="00255CFE">
        <w:rPr>
          <w:rFonts w:eastAsia="Calibri"/>
          <w:sz w:val="20"/>
          <w:lang w:eastAsia="en-US"/>
        </w:rPr>
        <w:t xml:space="preserve">Il progetto di sistemazione prevede </w:t>
      </w:r>
      <w:r w:rsidR="0003178C" w:rsidRPr="00255CFE">
        <w:rPr>
          <w:rFonts w:eastAsia="Calibri"/>
          <w:sz w:val="20"/>
          <w:lang w:eastAsia="en-US"/>
        </w:rPr>
        <w:t xml:space="preserve">il completo rinnovamento e </w:t>
      </w:r>
      <w:r w:rsidRPr="00255CFE">
        <w:rPr>
          <w:rFonts w:eastAsia="Calibri"/>
          <w:sz w:val="20"/>
          <w:lang w:eastAsia="en-US"/>
        </w:rPr>
        <w:t>l’</w:t>
      </w:r>
      <w:r w:rsidR="0003178C" w:rsidRPr="00255CFE">
        <w:rPr>
          <w:rFonts w:eastAsia="Calibri"/>
          <w:sz w:val="20"/>
          <w:lang w:eastAsia="en-US"/>
        </w:rPr>
        <w:t xml:space="preserve">ampliamento della superficie utile per 120 mq (32% in più rispetto </w:t>
      </w:r>
      <w:r w:rsidR="00BD5259" w:rsidRPr="00255CFE">
        <w:rPr>
          <w:rFonts w:eastAsia="Calibri"/>
          <w:sz w:val="20"/>
          <w:lang w:eastAsia="en-US"/>
        </w:rPr>
        <w:t>ai precedenti</w:t>
      </w:r>
      <w:r w:rsidR="0003178C" w:rsidRPr="00255CFE">
        <w:rPr>
          <w:rFonts w:eastAsia="Calibri"/>
          <w:sz w:val="20"/>
          <w:lang w:eastAsia="en-US"/>
        </w:rPr>
        <w:t xml:space="preserve"> 375 mq), con nuovi locali giorno, un nuovo locale fumo e migliori spazi per gli operatori. Saranno sostituiti e adeguati alla normativa tutti gli impianti - elettrico, idraulico e di raffrescamento/riscaldamento - e una nuova coibentazione esterna garantirà maggior risparmio energetico.</w:t>
      </w:r>
    </w:p>
    <w:p w:rsidR="00E27519" w:rsidRPr="00255CFE" w:rsidRDefault="0003178C">
      <w:pPr>
        <w:spacing w:before="0"/>
        <w:jc w:val="both"/>
        <w:rPr>
          <w:rFonts w:eastAsia="Calibri"/>
          <w:sz w:val="20"/>
          <w:lang w:eastAsia="en-US"/>
        </w:rPr>
      </w:pPr>
      <w:r w:rsidRPr="00255CFE">
        <w:rPr>
          <w:rFonts w:eastAsia="Calibri"/>
          <w:sz w:val="20"/>
          <w:lang w:eastAsia="en-US"/>
        </w:rPr>
        <w:t xml:space="preserve">L’AUSL ha deciso di avviare le attività di residenza anche prima ed indipendentemente dalla conclusione dei lavori nella Palazzina, al fine di venire incontro alle esigenze espresse dalle associazioni dei familiari. </w:t>
      </w:r>
      <w:r w:rsidR="00315DEF" w:rsidRPr="00255CFE">
        <w:rPr>
          <w:rFonts w:eastAsia="Calibri"/>
          <w:sz w:val="20"/>
          <w:lang w:eastAsia="en-US"/>
        </w:rPr>
        <w:t>È</w:t>
      </w:r>
      <w:r w:rsidRPr="00255CFE">
        <w:rPr>
          <w:rFonts w:eastAsia="Calibri"/>
          <w:sz w:val="20"/>
          <w:lang w:eastAsia="en-US"/>
        </w:rPr>
        <w:t xml:space="preserve"> stata quindi individuata una soluzione per collocare, temporaneamente, in spazi del medesimo ospedale, l’attività ospedaliera di ricovero psichiatrico volontario e in TSO, che permette l’avvio della sperimentazione contestuale dell’attività di residenzialità, durante la fase di progettazione e di realizzazione dei lavori, a partire cioè da febbraio 2017. Questo progetto offre progressiva attuazione al modello concordato di presa in carico complessa del paziente con problemi psichiatrici e consente anche di valutarne l’efficacia. La sperimentazione del modello di contiguità tra le attività ospedaliera e residenziale intensiva avrà una durata di 24 mesi. </w:t>
      </w:r>
    </w:p>
    <w:p w:rsidR="00BA7843" w:rsidRPr="00255CFE" w:rsidRDefault="00BA7843">
      <w:pPr>
        <w:spacing w:before="0"/>
        <w:jc w:val="both"/>
        <w:rPr>
          <w:rFonts w:eastAsia="Calibri"/>
          <w:sz w:val="20"/>
          <w:lang w:eastAsia="en-US"/>
        </w:rPr>
      </w:pPr>
      <w:r w:rsidRPr="00255CFE">
        <w:rPr>
          <w:rFonts w:eastAsia="Calibri"/>
          <w:sz w:val="20"/>
          <w:lang w:eastAsia="en-US"/>
        </w:rPr>
        <w:t>Al fine di garantire una sempre migliore</w:t>
      </w:r>
      <w:r w:rsidR="00697871" w:rsidRPr="00255CFE">
        <w:rPr>
          <w:rFonts w:eastAsia="Calibri"/>
          <w:sz w:val="20"/>
          <w:lang w:eastAsia="en-US"/>
        </w:rPr>
        <w:t xml:space="preserve"> qualità del servizio, nel 2017 è stato effettuato 1 focus group con le associazioni dei familiari dei pazienti, prima dell’attivazione della sperimentazione SPDC-RTI, in modo da coinvolgere le famiglie sul modo in cui </w:t>
      </w:r>
      <w:r w:rsidR="00697871" w:rsidRPr="00255CFE">
        <w:rPr>
          <w:rFonts w:eastAsia="Calibri"/>
          <w:sz w:val="20"/>
          <w:lang w:eastAsia="en-US"/>
        </w:rPr>
        <w:lastRenderedPageBreak/>
        <w:t xml:space="preserve">poter impostare la sperimentazione sin dall’avvio. Da questo incontro è nata la necessità di coinvolgere figure professionali come il Terapista della Riabilitazione Psichiatrica e di rivedere alcune modalità organizzative riguardanti la connessione della struttura con i servizi del CSM e con il Territorio. </w:t>
      </w:r>
    </w:p>
    <w:p w:rsidR="00E27519" w:rsidRPr="00255CFE" w:rsidRDefault="00CE7226">
      <w:pPr>
        <w:spacing w:before="0"/>
        <w:jc w:val="both"/>
        <w:rPr>
          <w:rFonts w:eastAsia="Calibri"/>
          <w:sz w:val="20"/>
          <w:lang w:eastAsia="en-US"/>
        </w:rPr>
      </w:pPr>
      <w:r w:rsidRPr="00255CFE">
        <w:rPr>
          <w:rFonts w:eastAsia="Calibri"/>
          <w:sz w:val="20"/>
          <w:lang w:eastAsia="en-US"/>
        </w:rPr>
        <w:t>P</w:t>
      </w:r>
      <w:r w:rsidR="0003178C" w:rsidRPr="00255CFE">
        <w:rPr>
          <w:rFonts w:eastAsia="Calibri"/>
          <w:sz w:val="20"/>
          <w:lang w:eastAsia="en-US"/>
        </w:rPr>
        <w:t xml:space="preserve">er quanto riguarda la promozione e tutela della salute negli istituti penitenziari, uno degli obiettivi della DGR </w:t>
      </w:r>
      <w:r w:rsidRPr="00255CFE">
        <w:rPr>
          <w:rFonts w:eastAsia="Calibri"/>
          <w:sz w:val="20"/>
          <w:lang w:eastAsia="en-US"/>
        </w:rPr>
        <w:t xml:space="preserve">830/2017 </w:t>
      </w:r>
      <w:r w:rsidR="0003178C" w:rsidRPr="00255CFE">
        <w:rPr>
          <w:rFonts w:eastAsia="Calibri"/>
          <w:sz w:val="20"/>
          <w:lang w:eastAsia="en-US"/>
        </w:rPr>
        <w:t xml:space="preserve">prevedeva </w:t>
      </w:r>
      <w:r w:rsidR="004506EE" w:rsidRPr="00255CFE">
        <w:rPr>
          <w:rFonts w:eastAsia="Calibri"/>
          <w:sz w:val="20"/>
          <w:lang w:eastAsia="en-US"/>
        </w:rPr>
        <w:t xml:space="preserve">lo </w:t>
      </w:r>
      <w:r w:rsidRPr="00255CFE">
        <w:rPr>
          <w:rFonts w:eastAsia="Calibri"/>
          <w:sz w:val="20"/>
          <w:lang w:eastAsia="en-US"/>
        </w:rPr>
        <w:t>screening HIV</w:t>
      </w:r>
      <w:r w:rsidR="004506EE" w:rsidRPr="00255CFE">
        <w:rPr>
          <w:rFonts w:eastAsia="Calibri"/>
          <w:sz w:val="20"/>
          <w:lang w:eastAsia="en-US"/>
        </w:rPr>
        <w:t xml:space="preserve"> sui </w:t>
      </w:r>
      <w:r w:rsidRPr="00255CFE">
        <w:rPr>
          <w:rFonts w:eastAsia="Calibri"/>
          <w:sz w:val="20"/>
          <w:lang w:eastAsia="en-US"/>
        </w:rPr>
        <w:t>nuovi ingressi nell'anno per i deten</w:t>
      </w:r>
      <w:r w:rsidR="004506EE" w:rsidRPr="00255CFE">
        <w:rPr>
          <w:rFonts w:eastAsia="Calibri"/>
          <w:sz w:val="20"/>
          <w:lang w:eastAsia="en-US"/>
        </w:rPr>
        <w:t>uti con permanenza &gt;= 14 giorni</w:t>
      </w:r>
      <w:r w:rsidR="0003178C" w:rsidRPr="00255CFE">
        <w:rPr>
          <w:rFonts w:eastAsia="Calibri"/>
          <w:sz w:val="20"/>
          <w:lang w:eastAsia="en-US"/>
        </w:rPr>
        <w:t xml:space="preserve">: </w:t>
      </w:r>
      <w:r w:rsidR="004506EE" w:rsidRPr="00255CFE">
        <w:rPr>
          <w:rFonts w:eastAsia="Calibri"/>
          <w:sz w:val="20"/>
          <w:lang w:eastAsia="en-US"/>
        </w:rPr>
        <w:t>l’obiettivo è stato raggiunto in quanto è stato effettuato al 90% dei nuovi ingressi nell’anno (target 80%).</w:t>
      </w:r>
    </w:p>
    <w:p w:rsidR="00E27519" w:rsidRDefault="004506EE" w:rsidP="004506EE">
      <w:pPr>
        <w:spacing w:before="0"/>
        <w:jc w:val="both"/>
        <w:rPr>
          <w:rFonts w:eastAsia="Calibri"/>
          <w:sz w:val="20"/>
          <w:lang w:eastAsia="en-US"/>
        </w:rPr>
      </w:pPr>
      <w:r w:rsidRPr="00255CFE">
        <w:rPr>
          <w:rFonts w:eastAsia="Calibri"/>
          <w:sz w:val="20"/>
          <w:lang w:eastAsia="en-US"/>
        </w:rPr>
        <w:t>Sul 100% dei pazienti (numero di pazienti con diagnosi di patologia cronica/numero di pazienti con almeno un trattamento farmacologico per patologie croniche</w:t>
      </w:r>
      <w:r w:rsidRPr="00255CFE">
        <w:rPr>
          <w:rFonts w:asciiTheme="minorHAnsi" w:eastAsia="Calibri" w:hAnsiTheme="minorHAnsi"/>
          <w:sz w:val="20"/>
          <w:lang w:eastAsia="en-US"/>
        </w:rPr>
        <w:t xml:space="preserve">) </w:t>
      </w:r>
      <w:r w:rsidRPr="00255CFE">
        <w:rPr>
          <w:rFonts w:eastAsia="Calibri"/>
          <w:sz w:val="20"/>
          <w:lang w:eastAsia="en-US"/>
        </w:rPr>
        <w:t>c’è stata coerenza tra terapie farmacologiche e diagnosi nella cartella clinica informatizzata SISP</w:t>
      </w:r>
      <w:r w:rsidRPr="00255CFE">
        <w:rPr>
          <w:rFonts w:asciiTheme="minorHAnsi" w:eastAsia="Calibri" w:hAnsiTheme="minorHAnsi"/>
          <w:sz w:val="20"/>
          <w:lang w:eastAsia="en-US"/>
        </w:rPr>
        <w:t>. Inoltre sono state somministrate terapie farmacologiche tramite tablet nel 100% dei casi.</w:t>
      </w:r>
      <w:r>
        <w:rPr>
          <w:rFonts w:eastAsia="Calibri"/>
          <w:sz w:val="20"/>
          <w:lang w:eastAsia="en-US"/>
        </w:rPr>
        <w:t xml:space="preserve"> </w:t>
      </w:r>
    </w:p>
    <w:p w:rsidR="00E27519" w:rsidRDefault="00E27519">
      <w:pPr>
        <w:suppressAutoHyphens w:val="0"/>
        <w:spacing w:before="0"/>
        <w:rPr>
          <w:rFonts w:eastAsia="Calibri"/>
          <w:b/>
          <w:sz w:val="20"/>
          <w:lang w:eastAsia="en-US"/>
        </w:rPr>
      </w:pPr>
    </w:p>
    <w:p w:rsidR="00E27519" w:rsidRPr="00A84F6B" w:rsidRDefault="0003178C">
      <w:pPr>
        <w:pStyle w:val="Titolo3Verdana"/>
        <w:rPr>
          <w:rFonts w:asciiTheme="minorHAnsi" w:eastAsia="Calibri" w:hAnsiTheme="minorHAnsi"/>
          <w:lang w:val="it-IT"/>
        </w:rPr>
      </w:pPr>
      <w:bookmarkStart w:id="14" w:name="_Toc518040052"/>
      <w:r w:rsidRPr="004046C2">
        <w:rPr>
          <w:rFonts w:asciiTheme="minorHAnsi" w:eastAsia="Calibri" w:hAnsiTheme="minorHAnsi"/>
        </w:rPr>
        <w:t>1.5 Le relazioni con i portatori di interesse</w:t>
      </w:r>
      <w:bookmarkEnd w:id="14"/>
      <w:r w:rsidR="00A84F6B">
        <w:rPr>
          <w:rFonts w:asciiTheme="minorHAnsi" w:eastAsia="Calibri" w:hAnsiTheme="minorHAnsi"/>
          <w:lang w:val="it-IT"/>
        </w:rPr>
        <w:t xml:space="preserve"> </w:t>
      </w:r>
    </w:p>
    <w:p w:rsidR="004046C2" w:rsidRPr="00530130" w:rsidRDefault="004046C2" w:rsidP="004046C2">
      <w:pPr>
        <w:suppressAutoHyphens w:val="0"/>
        <w:spacing w:before="0"/>
        <w:jc w:val="both"/>
        <w:rPr>
          <w:rFonts w:asciiTheme="majorHAnsi" w:eastAsia="Calibri" w:hAnsiTheme="majorHAnsi"/>
          <w:sz w:val="20"/>
          <w:lang w:eastAsia="en-US"/>
        </w:rPr>
      </w:pPr>
      <w:r w:rsidRPr="00530130">
        <w:rPr>
          <w:rFonts w:asciiTheme="majorHAnsi" w:eastAsia="Calibri" w:hAnsiTheme="majorHAnsi"/>
          <w:sz w:val="20"/>
          <w:lang w:eastAsia="en-US"/>
        </w:rPr>
        <w:t xml:space="preserve">La partecipazione nelle politiche sanitarie e comunque di welfare si presenta oggi come un’urgente necessità. Nel corso del 2017, l’Azienda USL di Modena ha proseguito nelle diverse attività di coinvolgimento dei diversi portatori di interesse aziendali. </w:t>
      </w:r>
    </w:p>
    <w:p w:rsidR="004046C2" w:rsidRPr="00530130" w:rsidRDefault="004046C2" w:rsidP="004046C2">
      <w:pPr>
        <w:suppressAutoHyphens w:val="0"/>
        <w:spacing w:before="0"/>
        <w:jc w:val="both"/>
        <w:rPr>
          <w:rFonts w:asciiTheme="majorHAnsi" w:eastAsia="Calibri" w:hAnsiTheme="majorHAnsi"/>
          <w:sz w:val="20"/>
          <w:lang w:eastAsia="en-US"/>
        </w:rPr>
      </w:pPr>
      <w:r w:rsidRPr="00530130">
        <w:rPr>
          <w:rFonts w:asciiTheme="majorHAnsi" w:eastAsia="Calibri" w:hAnsiTheme="majorHAnsi"/>
          <w:sz w:val="20"/>
          <w:lang w:eastAsia="en-US"/>
        </w:rPr>
        <w:t xml:space="preserve">La rafforzata collaborazione intervenuta tra Azienda USL e le Associazioni di Volontariato, sono più di 57 le convenzioni sottoscritte, hanno reso possibile generare nuove risorse per far fronte alle problematiche di cui i cittadini sono portatori, in un momento in cui aumentano </w:t>
      </w:r>
      <w:r>
        <w:rPr>
          <w:rFonts w:asciiTheme="majorHAnsi" w:eastAsia="Calibri" w:hAnsiTheme="majorHAnsi"/>
          <w:sz w:val="20"/>
          <w:lang w:eastAsia="en-US"/>
        </w:rPr>
        <w:t>e diventano più complessi i bisogni</w:t>
      </w:r>
      <w:r w:rsidRPr="00530130">
        <w:rPr>
          <w:rFonts w:asciiTheme="majorHAnsi" w:eastAsia="Calibri" w:hAnsiTheme="majorHAnsi"/>
          <w:sz w:val="20"/>
          <w:lang w:eastAsia="en-US"/>
        </w:rPr>
        <w:t xml:space="preserve"> e le disponibilità finanziarie</w:t>
      </w:r>
      <w:r>
        <w:rPr>
          <w:rFonts w:asciiTheme="majorHAnsi" w:eastAsia="Calibri" w:hAnsiTheme="majorHAnsi"/>
          <w:sz w:val="20"/>
          <w:lang w:eastAsia="en-US"/>
        </w:rPr>
        <w:t xml:space="preserve"> non hanno la stessa dinamica</w:t>
      </w:r>
      <w:r w:rsidRPr="00530130">
        <w:rPr>
          <w:rFonts w:asciiTheme="majorHAnsi" w:eastAsia="Calibri" w:hAnsiTheme="majorHAnsi"/>
          <w:sz w:val="20"/>
          <w:lang w:eastAsia="en-US"/>
        </w:rPr>
        <w:t>, le Istituzioni devono cercare dei “partner, dei collaboratori”, non più solo degli utenti, per perseguire gli obiettivi di miglioramento della salute e della qualità di vita della popolazione modenese.</w:t>
      </w:r>
    </w:p>
    <w:p w:rsidR="004046C2" w:rsidRPr="00530130" w:rsidRDefault="004046C2" w:rsidP="004046C2">
      <w:pPr>
        <w:suppressAutoHyphens w:val="0"/>
        <w:spacing w:before="0"/>
        <w:jc w:val="both"/>
        <w:rPr>
          <w:rFonts w:asciiTheme="majorHAnsi" w:eastAsia="Calibri" w:hAnsiTheme="majorHAnsi"/>
          <w:sz w:val="20"/>
          <w:lang w:eastAsia="en-US"/>
        </w:rPr>
      </w:pPr>
      <w:r w:rsidRPr="00530130">
        <w:rPr>
          <w:rFonts w:asciiTheme="majorHAnsi" w:eastAsia="Calibri" w:hAnsiTheme="majorHAnsi"/>
          <w:sz w:val="20"/>
          <w:lang w:eastAsia="en-US"/>
        </w:rPr>
        <w:t>In quest’ottica anche la rinnovata convenzione, generativa di sinergie e valori</w:t>
      </w:r>
      <w:r>
        <w:rPr>
          <w:rFonts w:asciiTheme="majorHAnsi" w:eastAsia="Calibri" w:hAnsiTheme="majorHAnsi"/>
          <w:sz w:val="20"/>
          <w:lang w:eastAsia="en-US"/>
        </w:rPr>
        <w:t xml:space="preserve"> con la comunità</w:t>
      </w:r>
      <w:r w:rsidRPr="00530130">
        <w:rPr>
          <w:rFonts w:asciiTheme="majorHAnsi" w:eastAsia="Calibri" w:hAnsiTheme="majorHAnsi"/>
          <w:sz w:val="20"/>
          <w:lang w:eastAsia="en-US"/>
        </w:rPr>
        <w:t>, stipulata tra Tribunale di Modena e l’Azienda USL, per lo svolgimento del lavoro di pubblica utilità all’interno degli ospedali e delle strutture sanitarie a cui si aggiunge a quella già operativa per la violazione del codice della strada, nell’ambito delle quali l’Azienda utilizza nei propri servizi cittadini “condannati” dal giudice ai lavori di pubblica utilità.</w:t>
      </w:r>
    </w:p>
    <w:p w:rsidR="004046C2" w:rsidRPr="00530130" w:rsidRDefault="004046C2" w:rsidP="004046C2">
      <w:pPr>
        <w:suppressAutoHyphens w:val="0"/>
        <w:spacing w:before="0"/>
        <w:jc w:val="both"/>
        <w:rPr>
          <w:rFonts w:asciiTheme="majorHAnsi" w:hAnsiTheme="majorHAnsi"/>
          <w:sz w:val="20"/>
        </w:rPr>
      </w:pPr>
      <w:r w:rsidRPr="00530130">
        <w:rPr>
          <w:rFonts w:asciiTheme="majorHAnsi" w:hAnsiTheme="majorHAnsi"/>
          <w:sz w:val="20"/>
        </w:rPr>
        <w:t>Infine la collaborazione strategica e di straordinaria importanza tra la Fondazione, senza scopo di lucro, Democenter-SIPE e l’Azienda USL di Modena, ha creato, attraverso i risultati della ricerca e la sperimentazione nella pratica clinica ed assistenziale, nuove opportunità di sviluppo e occupazione, importanti per consolidare il benessere e dare futuro alle nuove generazioni</w:t>
      </w:r>
    </w:p>
    <w:p w:rsidR="004046C2" w:rsidRPr="00530130" w:rsidRDefault="004046C2" w:rsidP="004046C2">
      <w:pPr>
        <w:rPr>
          <w:rFonts w:asciiTheme="majorHAnsi" w:hAnsiTheme="majorHAnsi"/>
          <w:sz w:val="20"/>
        </w:rPr>
      </w:pPr>
    </w:p>
    <w:p w:rsidR="00E27519" w:rsidRDefault="0003178C">
      <w:pPr>
        <w:pStyle w:val="Titolo2"/>
        <w:numPr>
          <w:ilvl w:val="1"/>
          <w:numId w:val="6"/>
        </w:numPr>
      </w:pPr>
      <w:bookmarkStart w:id="15" w:name="_Toc518040053"/>
      <w:r>
        <w:t>2 Politiche per la semplificazione e l’equità nell’accesso ai servizi</w:t>
      </w:r>
      <w:bookmarkEnd w:id="15"/>
    </w:p>
    <w:p w:rsidR="00E27519" w:rsidRDefault="00E27519">
      <w:pPr>
        <w:spacing w:before="0"/>
        <w:jc w:val="center"/>
        <w:rPr>
          <w:rFonts w:eastAsia="Calibri"/>
          <w:b/>
          <w:sz w:val="20"/>
          <w:lang w:eastAsia="en-US"/>
        </w:rPr>
      </w:pPr>
    </w:p>
    <w:p w:rsidR="00E27519" w:rsidRDefault="0003178C">
      <w:pPr>
        <w:pStyle w:val="Titolo3Verdana"/>
        <w:rPr>
          <w:rFonts w:asciiTheme="minorHAnsi" w:eastAsia="Calibri" w:hAnsiTheme="minorHAnsi"/>
        </w:rPr>
      </w:pPr>
      <w:bookmarkStart w:id="16" w:name="_Toc518040054"/>
      <w:r>
        <w:rPr>
          <w:rFonts w:asciiTheme="minorHAnsi" w:eastAsia="Calibri" w:hAnsiTheme="minorHAnsi"/>
        </w:rPr>
        <w:t>2.1 Le Case della Salute</w:t>
      </w:r>
      <w:bookmarkEnd w:id="16"/>
      <w:r>
        <w:rPr>
          <w:rFonts w:asciiTheme="minorHAnsi" w:eastAsia="Calibri" w:hAnsiTheme="minorHAnsi"/>
        </w:rPr>
        <w:t xml:space="preserve"> </w:t>
      </w:r>
    </w:p>
    <w:p w:rsidR="00E27519" w:rsidRPr="00B001FE" w:rsidRDefault="0003178C">
      <w:pPr>
        <w:spacing w:before="80"/>
        <w:jc w:val="both"/>
        <w:rPr>
          <w:sz w:val="20"/>
        </w:rPr>
      </w:pPr>
      <w:r w:rsidRPr="00B001FE">
        <w:rPr>
          <w:sz w:val="20"/>
        </w:rPr>
        <w:t>La Casa della Salute garantisce la risposta ai bisogni del cittadino, in</w:t>
      </w:r>
      <w:r w:rsidR="00583A87" w:rsidRPr="00B001FE">
        <w:rPr>
          <w:sz w:val="20"/>
        </w:rPr>
        <w:t xml:space="preserve"> una logica multidimensionale, </w:t>
      </w:r>
      <w:r w:rsidRPr="00B001FE">
        <w:rPr>
          <w:sz w:val="20"/>
        </w:rPr>
        <w:t>attraverso un processo di presa in carico unitario e la</w:t>
      </w:r>
      <w:r w:rsidR="00583A87" w:rsidRPr="00B001FE">
        <w:rPr>
          <w:sz w:val="20"/>
        </w:rPr>
        <w:t xml:space="preserve"> </w:t>
      </w:r>
      <w:r w:rsidRPr="00B001FE">
        <w:rPr>
          <w:sz w:val="20"/>
        </w:rPr>
        <w:t>continuità assistenziale. Gli elementi che la caratterizzano sono:</w:t>
      </w:r>
    </w:p>
    <w:p w:rsidR="00E27519" w:rsidRPr="00B001FE" w:rsidRDefault="0003178C">
      <w:pPr>
        <w:pStyle w:val="Paragrafoelenco2"/>
        <w:numPr>
          <w:ilvl w:val="0"/>
          <w:numId w:val="12"/>
        </w:numPr>
        <w:spacing w:before="80"/>
        <w:jc w:val="both"/>
        <w:rPr>
          <w:rFonts w:asciiTheme="minorHAnsi" w:hAnsiTheme="minorHAnsi"/>
        </w:rPr>
      </w:pPr>
      <w:r w:rsidRPr="00B001FE">
        <w:rPr>
          <w:rFonts w:asciiTheme="minorHAnsi" w:hAnsiTheme="minorHAnsi"/>
        </w:rPr>
        <w:t xml:space="preserve">Accesso all’assistenza sanitaria, socio-sanitaria e socio-assistenziale in un luogo visibile e facilmente raggiungibile dalla popolazione di riferimento;  </w:t>
      </w:r>
    </w:p>
    <w:p w:rsidR="00E27519" w:rsidRPr="00B001FE" w:rsidRDefault="0003178C">
      <w:pPr>
        <w:pStyle w:val="Paragrafoelenco2"/>
        <w:numPr>
          <w:ilvl w:val="0"/>
          <w:numId w:val="12"/>
        </w:numPr>
        <w:spacing w:before="80"/>
        <w:jc w:val="both"/>
        <w:rPr>
          <w:rFonts w:asciiTheme="minorHAnsi" w:hAnsiTheme="minorHAnsi"/>
        </w:rPr>
      </w:pPr>
      <w:r w:rsidRPr="00B001FE">
        <w:rPr>
          <w:rFonts w:asciiTheme="minorHAnsi" w:hAnsiTheme="minorHAnsi"/>
        </w:rPr>
        <w:t>Individuazione e decodifica del</w:t>
      </w:r>
      <w:r w:rsidR="00583A87" w:rsidRPr="00B001FE">
        <w:rPr>
          <w:rFonts w:asciiTheme="minorHAnsi" w:hAnsiTheme="minorHAnsi"/>
        </w:rPr>
        <w:t xml:space="preserve"> </w:t>
      </w:r>
      <w:r w:rsidRPr="00B001FE">
        <w:rPr>
          <w:rFonts w:asciiTheme="minorHAnsi" w:hAnsiTheme="minorHAnsi"/>
        </w:rPr>
        <w:t xml:space="preserve">bisogno della persona e accompagnamento alla risposta maggiormente appropriata, programmabile e non programmabile; </w:t>
      </w:r>
    </w:p>
    <w:p w:rsidR="00E27519" w:rsidRPr="00B001FE" w:rsidRDefault="0003178C">
      <w:pPr>
        <w:pStyle w:val="Paragrafoelenco2"/>
        <w:numPr>
          <w:ilvl w:val="0"/>
          <w:numId w:val="12"/>
        </w:numPr>
        <w:spacing w:before="80"/>
        <w:jc w:val="both"/>
        <w:rPr>
          <w:rFonts w:asciiTheme="minorHAnsi" w:hAnsiTheme="minorHAnsi"/>
        </w:rPr>
      </w:pPr>
      <w:r w:rsidRPr="00B001FE">
        <w:rPr>
          <w:rFonts w:asciiTheme="minorHAnsi" w:hAnsiTheme="minorHAnsi"/>
        </w:rPr>
        <w:t>Risposta alla domanda di salute della popolazione almeno nelle 12 ore giornaliere;</w:t>
      </w:r>
    </w:p>
    <w:p w:rsidR="00E27519" w:rsidRPr="00B001FE" w:rsidRDefault="0003178C">
      <w:pPr>
        <w:pStyle w:val="Paragrafoelenco2"/>
        <w:numPr>
          <w:ilvl w:val="0"/>
          <w:numId w:val="12"/>
        </w:numPr>
        <w:spacing w:before="80"/>
        <w:jc w:val="both"/>
        <w:rPr>
          <w:rFonts w:asciiTheme="minorHAnsi" w:hAnsiTheme="minorHAnsi"/>
        </w:rPr>
      </w:pPr>
      <w:r w:rsidRPr="00B001FE">
        <w:rPr>
          <w:rFonts w:asciiTheme="minorHAnsi" w:hAnsiTheme="minorHAnsi"/>
        </w:rPr>
        <w:t xml:space="preserve">Presa in carico della persona secondo il paradigma della medicina d’iniziativa; </w:t>
      </w:r>
    </w:p>
    <w:p w:rsidR="00E27519" w:rsidRPr="00B001FE" w:rsidRDefault="0003178C">
      <w:pPr>
        <w:pStyle w:val="Paragrafoelenco2"/>
        <w:numPr>
          <w:ilvl w:val="0"/>
          <w:numId w:val="12"/>
        </w:numPr>
        <w:spacing w:before="80"/>
        <w:jc w:val="both"/>
        <w:rPr>
          <w:rFonts w:asciiTheme="minorHAnsi" w:hAnsiTheme="minorHAnsi"/>
        </w:rPr>
      </w:pPr>
      <w:r w:rsidRPr="00B001FE">
        <w:rPr>
          <w:rFonts w:asciiTheme="minorHAnsi" w:hAnsiTheme="minorHAnsi"/>
        </w:rPr>
        <w:t>Promozione della salute, dei sani stili di vita, della diagnostica precoce</w:t>
      </w:r>
    </w:p>
    <w:p w:rsidR="00E27519" w:rsidRPr="00B001FE" w:rsidRDefault="0003178C">
      <w:pPr>
        <w:pStyle w:val="Paragrafoelenco2"/>
        <w:numPr>
          <w:ilvl w:val="0"/>
          <w:numId w:val="12"/>
        </w:numPr>
        <w:spacing w:before="80"/>
        <w:jc w:val="both"/>
        <w:rPr>
          <w:rFonts w:asciiTheme="minorHAnsi" w:hAnsiTheme="minorHAnsi"/>
        </w:rPr>
      </w:pPr>
      <w:r w:rsidRPr="00B001FE">
        <w:rPr>
          <w:rFonts w:asciiTheme="minorHAnsi" w:hAnsiTheme="minorHAnsi"/>
        </w:rPr>
        <w:lastRenderedPageBreak/>
        <w:t xml:space="preserve">Attivazione di percorsi di cura multidisciplinari, che prevedono la integrazione tra servizi sanitari, ospedalieri e territoriali, e tra servizi sanitari e sociali; </w:t>
      </w:r>
    </w:p>
    <w:p w:rsidR="00E27519" w:rsidRPr="00B001FE" w:rsidRDefault="0003178C">
      <w:pPr>
        <w:pStyle w:val="Paragrafoelenco2"/>
        <w:numPr>
          <w:ilvl w:val="0"/>
          <w:numId w:val="12"/>
        </w:numPr>
        <w:spacing w:before="80"/>
        <w:jc w:val="both"/>
        <w:rPr>
          <w:rFonts w:asciiTheme="minorHAnsi" w:hAnsiTheme="minorHAnsi"/>
        </w:rPr>
      </w:pPr>
      <w:r w:rsidRPr="00B001FE">
        <w:rPr>
          <w:rFonts w:asciiTheme="minorHAnsi" w:hAnsiTheme="minorHAnsi"/>
        </w:rPr>
        <w:t xml:space="preserve">Partecipazione della comunità locale, delle associazioni di cittadini, dei pazienti e caregiver. </w:t>
      </w:r>
    </w:p>
    <w:p w:rsidR="00E27519" w:rsidRPr="00B001FE" w:rsidRDefault="0003178C">
      <w:pPr>
        <w:spacing w:before="80"/>
        <w:jc w:val="both"/>
        <w:rPr>
          <w:sz w:val="20"/>
        </w:rPr>
      </w:pPr>
      <w:r w:rsidRPr="00B001FE">
        <w:rPr>
          <w:sz w:val="20"/>
        </w:rPr>
        <w:t xml:space="preserve">Al fine di migliorare l’accesso dei cittadini, si è dato corso alla programmazione relativa alla realizzazione delle Case della Salute, luogo fisico e funzionale in cui si concentrano servizi ed attività, nonché luogo di definizione, erogazione e verifica del percorso di cura. </w:t>
      </w:r>
    </w:p>
    <w:p w:rsidR="00E27519" w:rsidRPr="00B001FE" w:rsidRDefault="00583A87">
      <w:pPr>
        <w:spacing w:before="0"/>
        <w:jc w:val="both"/>
        <w:rPr>
          <w:rFonts w:asciiTheme="minorHAnsi" w:eastAsia="Calibri" w:hAnsiTheme="minorHAnsi"/>
          <w:sz w:val="20"/>
          <w:lang w:eastAsia="en-US"/>
        </w:rPr>
      </w:pPr>
      <w:r w:rsidRPr="00B001FE">
        <w:rPr>
          <w:sz w:val="20"/>
        </w:rPr>
        <w:t xml:space="preserve">Al 31/12/2017 le Case della Salute presenti in Provincia di Modena sono 11: Novi di Modena – Rovereto – Cavezzo – Castelfranco Emilia – Bomporto - </w:t>
      </w:r>
      <w:r w:rsidR="009652B9" w:rsidRPr="00B001FE">
        <w:rPr>
          <w:rFonts w:asciiTheme="minorHAnsi" w:eastAsia="Calibri" w:hAnsiTheme="minorHAnsi"/>
          <w:sz w:val="20"/>
          <w:lang w:eastAsia="en-US"/>
        </w:rPr>
        <w:t xml:space="preserve"> </w:t>
      </w:r>
      <w:r w:rsidRPr="00B001FE">
        <w:rPr>
          <w:rFonts w:asciiTheme="minorHAnsi" w:eastAsia="Calibri" w:hAnsiTheme="minorHAnsi"/>
          <w:sz w:val="20"/>
          <w:lang w:eastAsia="en-US"/>
        </w:rPr>
        <w:t>Spilamberto – Guiglia – Montefiorino – Pievepelago – Fanano</w:t>
      </w:r>
      <w:r w:rsidR="00A84F6B" w:rsidRPr="00B001FE">
        <w:rPr>
          <w:rFonts w:asciiTheme="minorHAnsi" w:eastAsia="Calibri" w:hAnsiTheme="minorHAnsi"/>
          <w:sz w:val="20"/>
          <w:lang w:eastAsia="en-US"/>
        </w:rPr>
        <w:t xml:space="preserve"> – Finale Emilia</w:t>
      </w:r>
      <w:r w:rsidRPr="00B001FE">
        <w:rPr>
          <w:rFonts w:asciiTheme="minorHAnsi" w:eastAsia="Calibri" w:hAnsiTheme="minorHAnsi"/>
          <w:sz w:val="20"/>
          <w:lang w:eastAsia="en-US"/>
        </w:rPr>
        <w:t>. Nel</w:t>
      </w:r>
      <w:r w:rsidR="0003178C" w:rsidRPr="00B001FE">
        <w:rPr>
          <w:rFonts w:asciiTheme="minorHAnsi" w:eastAsia="Calibri" w:hAnsiTheme="minorHAnsi"/>
          <w:sz w:val="20"/>
          <w:lang w:eastAsia="en-US"/>
        </w:rPr>
        <w:t xml:space="preserve"> 2016 si sono avviati i lavori</w:t>
      </w:r>
      <w:r w:rsidRPr="00B001FE">
        <w:rPr>
          <w:rFonts w:asciiTheme="minorHAnsi" w:eastAsia="Calibri" w:hAnsiTheme="minorHAnsi"/>
          <w:sz w:val="20"/>
          <w:lang w:eastAsia="en-US"/>
        </w:rPr>
        <w:t xml:space="preserve"> per la realizzazione delle CdS di </w:t>
      </w:r>
      <w:r w:rsidR="0003178C" w:rsidRPr="00B001FE">
        <w:rPr>
          <w:rFonts w:asciiTheme="minorHAnsi" w:eastAsia="Calibri" w:hAnsiTheme="minorHAnsi"/>
          <w:sz w:val="20"/>
          <w:lang w:eastAsia="en-US"/>
        </w:rPr>
        <w:t>Modena Nord, Carpi, Mirandola e Concordia. Sono in corso di avanzata valutazione le realizzazio</w:t>
      </w:r>
      <w:r w:rsidR="009652B9" w:rsidRPr="00B001FE">
        <w:rPr>
          <w:rFonts w:asciiTheme="minorHAnsi" w:eastAsia="Calibri" w:hAnsiTheme="minorHAnsi"/>
          <w:sz w:val="20"/>
          <w:lang w:eastAsia="en-US"/>
        </w:rPr>
        <w:t>n</w:t>
      </w:r>
      <w:r w:rsidRPr="00B001FE">
        <w:rPr>
          <w:rFonts w:asciiTheme="minorHAnsi" w:eastAsia="Calibri" w:hAnsiTheme="minorHAnsi"/>
          <w:sz w:val="20"/>
          <w:lang w:eastAsia="en-US"/>
        </w:rPr>
        <w:t>i di altre 4</w:t>
      </w:r>
      <w:r w:rsidR="0003178C" w:rsidRPr="00B001FE">
        <w:rPr>
          <w:rFonts w:asciiTheme="minorHAnsi" w:eastAsia="Calibri" w:hAnsiTheme="minorHAnsi"/>
          <w:sz w:val="20"/>
          <w:lang w:eastAsia="en-US"/>
        </w:rPr>
        <w:t xml:space="preserve"> CdS (Modena</w:t>
      </w:r>
      <w:r w:rsidRPr="00B001FE">
        <w:rPr>
          <w:rFonts w:asciiTheme="minorHAnsi" w:eastAsia="Calibri" w:hAnsiTheme="minorHAnsi"/>
          <w:sz w:val="20"/>
          <w:lang w:eastAsia="en-US"/>
        </w:rPr>
        <w:t xml:space="preserve"> Sud, Montese, </w:t>
      </w:r>
      <w:r w:rsidR="0003178C" w:rsidRPr="00B001FE">
        <w:rPr>
          <w:rFonts w:asciiTheme="minorHAnsi" w:eastAsia="Calibri" w:hAnsiTheme="minorHAnsi"/>
          <w:sz w:val="20"/>
          <w:lang w:eastAsia="en-US"/>
        </w:rPr>
        <w:t>Formigine</w:t>
      </w:r>
      <w:r w:rsidRPr="00B001FE">
        <w:rPr>
          <w:rFonts w:asciiTheme="minorHAnsi" w:eastAsia="Calibri" w:hAnsiTheme="minorHAnsi"/>
          <w:sz w:val="20"/>
          <w:lang w:eastAsia="en-US"/>
        </w:rPr>
        <w:t xml:space="preserve"> e Sassuolo</w:t>
      </w:r>
      <w:r w:rsidR="0003178C" w:rsidRPr="00B001FE">
        <w:rPr>
          <w:rFonts w:asciiTheme="minorHAnsi" w:eastAsia="Calibri" w:hAnsiTheme="minorHAnsi"/>
          <w:sz w:val="20"/>
          <w:lang w:eastAsia="en-US"/>
        </w:rPr>
        <w:t>).</w:t>
      </w:r>
    </w:p>
    <w:p w:rsidR="00E27519" w:rsidRDefault="0003178C">
      <w:p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A</w:t>
      </w:r>
      <w:r w:rsidR="00A84F6B" w:rsidRPr="00B001FE">
        <w:rPr>
          <w:rFonts w:asciiTheme="minorHAnsi" w:eastAsia="Calibri" w:hAnsiTheme="minorHAnsi"/>
          <w:sz w:val="20"/>
          <w:lang w:eastAsia="en-US"/>
        </w:rPr>
        <w:t>nche a</w:t>
      </w:r>
      <w:r w:rsidRPr="00B001FE">
        <w:rPr>
          <w:rFonts w:asciiTheme="minorHAnsi" w:eastAsia="Calibri" w:hAnsiTheme="minorHAnsi"/>
          <w:sz w:val="20"/>
          <w:lang w:eastAsia="en-US"/>
        </w:rPr>
        <w:t xml:space="preserve"> seguito della programmazione regionale, sono stati avviati numerosi progetti per concretizzare il ruo</w:t>
      </w:r>
      <w:r w:rsidR="00D947E6" w:rsidRPr="00B001FE">
        <w:rPr>
          <w:rFonts w:asciiTheme="minorHAnsi" w:eastAsia="Calibri" w:hAnsiTheme="minorHAnsi"/>
          <w:sz w:val="20"/>
          <w:lang w:eastAsia="en-US"/>
        </w:rPr>
        <w:t>l</w:t>
      </w:r>
      <w:r w:rsidRPr="00B001FE">
        <w:rPr>
          <w:rFonts w:asciiTheme="minorHAnsi" w:eastAsia="Calibri" w:hAnsiTheme="minorHAnsi"/>
          <w:sz w:val="20"/>
          <w:lang w:eastAsia="en-US"/>
        </w:rPr>
        <w:t>o e i processi delle CdS e per omogeneizzare i servizi erogati. In condivisione con i professionisti e le Associazione di patologia, è stata effettuata la stesura del protocollo di ricerca per l’u</w:t>
      </w:r>
      <w:r w:rsidR="008A1781" w:rsidRPr="00B001FE">
        <w:rPr>
          <w:rFonts w:asciiTheme="minorHAnsi" w:eastAsia="Calibri" w:hAnsiTheme="minorHAnsi"/>
          <w:sz w:val="20"/>
          <w:lang w:eastAsia="en-US"/>
        </w:rPr>
        <w:t xml:space="preserve">tilizzo del metodo PACIC e ACIC. </w:t>
      </w:r>
      <w:r w:rsidRPr="00B001FE">
        <w:rPr>
          <w:rFonts w:asciiTheme="minorHAnsi" w:eastAsia="Calibri" w:hAnsiTheme="minorHAnsi"/>
          <w:sz w:val="20"/>
          <w:lang w:eastAsia="en-US"/>
        </w:rPr>
        <w:t xml:space="preserve">Questi metodi sono finalizzati alla raccolta dell’esperienza del cittadino/paziente e dell’operatore </w:t>
      </w:r>
      <w:r w:rsidR="005818C3" w:rsidRPr="00B001FE">
        <w:rPr>
          <w:rFonts w:asciiTheme="minorHAnsi" w:eastAsia="Calibri" w:hAnsiTheme="minorHAnsi"/>
          <w:sz w:val="20"/>
          <w:lang w:eastAsia="en-US"/>
        </w:rPr>
        <w:t>ne</w:t>
      </w:r>
      <w:r w:rsidRPr="00B001FE">
        <w:rPr>
          <w:rFonts w:asciiTheme="minorHAnsi" w:eastAsia="Calibri" w:hAnsiTheme="minorHAnsi"/>
          <w:sz w:val="20"/>
          <w:lang w:eastAsia="en-US"/>
        </w:rPr>
        <w:t>ll’intero percorso di accesso e cura.</w:t>
      </w:r>
      <w:r w:rsidR="008A1781" w:rsidRPr="00B001FE">
        <w:rPr>
          <w:rFonts w:asciiTheme="minorHAnsi" w:eastAsia="Calibri" w:hAnsiTheme="minorHAnsi"/>
          <w:sz w:val="20"/>
          <w:lang w:eastAsia="en-US"/>
        </w:rPr>
        <w:t xml:space="preserve"> Nel 2017 il questionario PACIC è stato utilizzato nelle Case della Salute di Bomporto, Finale Emilia e Alto Frignano. Il questionario ACIC è stato utilizzato nelle Casa della Salute di Bomporto e Alto Frignano.</w:t>
      </w:r>
    </w:p>
    <w:p w:rsidR="00444BCA" w:rsidRDefault="00444BCA" w:rsidP="00444BCA">
      <w:pPr>
        <w:spacing w:before="0"/>
        <w:jc w:val="center"/>
        <w:rPr>
          <w:rFonts w:asciiTheme="minorHAnsi" w:eastAsia="Calibri" w:hAnsiTheme="minorHAnsi"/>
          <w:sz w:val="20"/>
          <w:highlight w:val="green"/>
          <w:lang w:eastAsia="en-US"/>
        </w:rPr>
      </w:pPr>
      <w:r>
        <w:rPr>
          <w:rFonts w:eastAsia="Calibri"/>
          <w:b/>
          <w:noProof/>
          <w:sz w:val="20"/>
          <w:lang w:eastAsia="it-IT" w:bidi="ar-SA"/>
        </w:rPr>
        <w:drawing>
          <wp:inline distT="0" distB="0" distL="0" distR="0" wp14:anchorId="1D5E22C1" wp14:editId="3F67FE89">
            <wp:extent cx="4681562" cy="4456460"/>
            <wp:effectExtent l="0" t="0" r="5080" b="127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8271" cy="4462847"/>
                    </a:xfrm>
                    <a:prstGeom prst="rect">
                      <a:avLst/>
                    </a:prstGeom>
                    <a:noFill/>
                    <a:ln>
                      <a:noFill/>
                    </a:ln>
                  </pic:spPr>
                </pic:pic>
              </a:graphicData>
            </a:graphic>
          </wp:inline>
        </w:drawing>
      </w:r>
    </w:p>
    <w:p w:rsidR="00444BCA" w:rsidRPr="00583A87" w:rsidRDefault="00444BCA" w:rsidP="00444BCA">
      <w:pPr>
        <w:spacing w:before="0"/>
        <w:jc w:val="both"/>
        <w:rPr>
          <w:rFonts w:asciiTheme="minorHAnsi" w:eastAsia="Calibri" w:hAnsiTheme="minorHAnsi"/>
          <w:b/>
          <w:sz w:val="20"/>
          <w:lang w:eastAsia="en-US"/>
        </w:rPr>
      </w:pPr>
      <w:r>
        <w:rPr>
          <w:rFonts w:eastAsia="Calibri"/>
          <w:b/>
          <w:sz w:val="20"/>
          <w:lang w:eastAsia="en-US"/>
        </w:rPr>
        <w:t>Case della Salute e Ospedali di Comunità attivi nella Provincia di Modena</w:t>
      </w:r>
    </w:p>
    <w:p w:rsidR="00444BCA" w:rsidRDefault="00444BCA" w:rsidP="008A1781">
      <w:pPr>
        <w:spacing w:before="0"/>
        <w:jc w:val="both"/>
        <w:rPr>
          <w:rFonts w:asciiTheme="minorHAnsi" w:eastAsia="Calibri" w:hAnsiTheme="minorHAnsi"/>
          <w:sz w:val="20"/>
          <w:highlight w:val="green"/>
          <w:lang w:eastAsia="en-US"/>
        </w:rPr>
      </w:pPr>
    </w:p>
    <w:p w:rsidR="00BE6AA9" w:rsidRPr="00B001FE" w:rsidRDefault="008A1781" w:rsidP="008A1781">
      <w:p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 xml:space="preserve">Nel corso del 2017 sono stati prodotti ed inviati i report sintetici per l'implementazione dei profili di rischio nelle CdS di Castelfranco Emilia e di Cavezzo. </w:t>
      </w:r>
    </w:p>
    <w:p w:rsidR="00BE6AA9" w:rsidRPr="00B001FE" w:rsidRDefault="008A1781" w:rsidP="008A1781">
      <w:p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lastRenderedPageBreak/>
        <w:t>Sono stati imp</w:t>
      </w:r>
      <w:r w:rsidR="00BE6AA9" w:rsidRPr="00B001FE">
        <w:rPr>
          <w:rFonts w:asciiTheme="minorHAnsi" w:eastAsia="Calibri" w:hAnsiTheme="minorHAnsi"/>
          <w:sz w:val="20"/>
          <w:lang w:eastAsia="en-US"/>
        </w:rPr>
        <w:t>lementati i seguenti percorsi:</w:t>
      </w:r>
    </w:p>
    <w:p w:rsidR="00BE6AA9" w:rsidRPr="00B001FE" w:rsidRDefault="00BE6AA9" w:rsidP="00CE7226">
      <w:pPr>
        <w:pStyle w:val="Paragrafoelenco"/>
        <w:numPr>
          <w:ilvl w:val="0"/>
          <w:numId w:val="35"/>
        </w:num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Percorso</w:t>
      </w:r>
      <w:r w:rsidR="008A1781" w:rsidRPr="00B001FE">
        <w:rPr>
          <w:rFonts w:asciiTheme="minorHAnsi" w:eastAsia="Calibri" w:hAnsiTheme="minorHAnsi"/>
          <w:sz w:val="20"/>
          <w:lang w:eastAsia="en-US"/>
        </w:rPr>
        <w:t xml:space="preserve"> prevenzione cadute in fase sperimentale sull'area del Sorbara: 17 pazienti segnalati di cui 10 hanno rifiutato il percorso e</w:t>
      </w:r>
      <w:r w:rsidRPr="00B001FE">
        <w:rPr>
          <w:rFonts w:asciiTheme="minorHAnsi" w:eastAsia="Calibri" w:hAnsiTheme="minorHAnsi"/>
          <w:sz w:val="20"/>
          <w:lang w:eastAsia="en-US"/>
        </w:rPr>
        <w:t xml:space="preserve"> 7 sono stati presi in carico (</w:t>
      </w:r>
      <w:r w:rsidR="008A1781" w:rsidRPr="00B001FE">
        <w:rPr>
          <w:rFonts w:asciiTheme="minorHAnsi" w:eastAsia="Calibri" w:hAnsiTheme="minorHAnsi"/>
          <w:sz w:val="20"/>
          <w:lang w:eastAsia="en-US"/>
        </w:rPr>
        <w:t>4 accessi domiciliari e 3 ambulatoriali)</w:t>
      </w:r>
      <w:r w:rsidRPr="00B001FE">
        <w:rPr>
          <w:rFonts w:asciiTheme="minorHAnsi" w:eastAsia="Calibri" w:hAnsiTheme="minorHAnsi"/>
          <w:sz w:val="20"/>
          <w:lang w:eastAsia="en-US"/>
        </w:rPr>
        <w:t>;</w:t>
      </w:r>
    </w:p>
    <w:p w:rsidR="00BE6AA9" w:rsidRPr="00B001FE" w:rsidRDefault="00BE6AA9" w:rsidP="008A1781">
      <w:pPr>
        <w:pStyle w:val="Paragrafoelenco"/>
        <w:numPr>
          <w:ilvl w:val="0"/>
          <w:numId w:val="35"/>
        </w:num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Scompenso Cardiaco.</w:t>
      </w:r>
      <w:r w:rsidR="008A1781" w:rsidRPr="00B001FE">
        <w:rPr>
          <w:rFonts w:asciiTheme="minorHAnsi" w:eastAsia="Calibri" w:hAnsiTheme="minorHAnsi"/>
          <w:sz w:val="20"/>
          <w:lang w:eastAsia="en-US"/>
        </w:rPr>
        <w:t xml:space="preserve"> Da novembre 2015 al 31/12/2017 sono stati valutati dall'ambulatorio 82 persone di cui 29 poi dimesse per varie motivazioni e 53 sono attualmente in carico. I nuovi pazienti presi in carico nel 2017 sono stati 18.</w:t>
      </w:r>
    </w:p>
    <w:p w:rsidR="00BE6AA9" w:rsidRPr="00B001FE" w:rsidRDefault="00BE6AA9" w:rsidP="00CE7226">
      <w:pPr>
        <w:pStyle w:val="Paragrafoelenco"/>
        <w:numPr>
          <w:ilvl w:val="0"/>
          <w:numId w:val="35"/>
        </w:num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Modalità assunzione farmaci: s</w:t>
      </w:r>
      <w:r w:rsidR="008A1781" w:rsidRPr="00B001FE">
        <w:rPr>
          <w:rFonts w:asciiTheme="minorHAnsi" w:eastAsia="Calibri" w:hAnsiTheme="minorHAnsi"/>
          <w:sz w:val="20"/>
          <w:lang w:eastAsia="en-US"/>
        </w:rPr>
        <w:t>ono state distribuite 30 schede (sulle modalità di assunzione farmaci e relativo questionario per andare a indagare l'utilità e la comprensio</w:t>
      </w:r>
      <w:r w:rsidRPr="00B001FE">
        <w:rPr>
          <w:rFonts w:asciiTheme="minorHAnsi" w:eastAsia="Calibri" w:hAnsiTheme="minorHAnsi"/>
          <w:sz w:val="20"/>
          <w:lang w:eastAsia="en-US"/>
        </w:rPr>
        <w:t xml:space="preserve">ne dello strumento proposto) a </w:t>
      </w:r>
      <w:r w:rsidR="008A1781" w:rsidRPr="00B001FE">
        <w:rPr>
          <w:rFonts w:asciiTheme="minorHAnsi" w:eastAsia="Calibri" w:hAnsiTheme="minorHAnsi"/>
          <w:sz w:val="20"/>
          <w:lang w:eastAsia="en-US"/>
        </w:rPr>
        <w:t>persone seguite dall'assistenza domi</w:t>
      </w:r>
      <w:r w:rsidRPr="00B001FE">
        <w:rPr>
          <w:rFonts w:asciiTheme="minorHAnsi" w:eastAsia="Calibri" w:hAnsiTheme="minorHAnsi"/>
          <w:sz w:val="20"/>
          <w:lang w:eastAsia="en-US"/>
        </w:rPr>
        <w:t xml:space="preserve">ciliare di Castelfranco Emilia, a queste si aggiungono altre </w:t>
      </w:r>
      <w:r w:rsidR="008A1781" w:rsidRPr="00B001FE">
        <w:rPr>
          <w:rFonts w:asciiTheme="minorHAnsi" w:eastAsia="Calibri" w:hAnsiTheme="minorHAnsi"/>
          <w:sz w:val="20"/>
          <w:lang w:eastAsia="en-US"/>
        </w:rPr>
        <w:t>13 durante il c</w:t>
      </w:r>
      <w:r w:rsidRPr="00B001FE">
        <w:rPr>
          <w:rFonts w:asciiTheme="minorHAnsi" w:eastAsia="Calibri" w:hAnsiTheme="minorHAnsi"/>
          <w:sz w:val="20"/>
          <w:lang w:eastAsia="en-US"/>
        </w:rPr>
        <w:t>orso di formazione ai caregiver;</w:t>
      </w:r>
    </w:p>
    <w:p w:rsidR="008A1781" w:rsidRPr="00B001FE" w:rsidRDefault="00BE6AA9" w:rsidP="00CE7226">
      <w:pPr>
        <w:pStyle w:val="Paragrafoelenco"/>
        <w:numPr>
          <w:ilvl w:val="0"/>
          <w:numId w:val="35"/>
        </w:num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Sociale: a</w:t>
      </w:r>
      <w:r w:rsidR="008A1781" w:rsidRPr="00B001FE">
        <w:rPr>
          <w:rFonts w:asciiTheme="minorHAnsi" w:eastAsia="Calibri" w:hAnsiTheme="minorHAnsi"/>
          <w:sz w:val="20"/>
          <w:lang w:eastAsia="en-US"/>
        </w:rPr>
        <w:t xml:space="preserve"> partire da 102 persone a rischio “molto alto” su 29 persone segnalate</w:t>
      </w:r>
      <w:r w:rsidRPr="00B001FE">
        <w:rPr>
          <w:rFonts w:asciiTheme="minorHAnsi" w:eastAsia="Calibri" w:hAnsiTheme="minorHAnsi"/>
          <w:sz w:val="20"/>
          <w:lang w:eastAsia="en-US"/>
        </w:rPr>
        <w:t xml:space="preserve"> 25 sono state prese in carico. </w:t>
      </w:r>
      <w:r w:rsidR="008A1781" w:rsidRPr="00B001FE">
        <w:rPr>
          <w:rFonts w:asciiTheme="minorHAnsi" w:eastAsia="Calibri" w:hAnsiTheme="minorHAnsi"/>
          <w:sz w:val="20"/>
          <w:lang w:eastAsia="en-US"/>
        </w:rPr>
        <w:t>A partire da 87 persone a rischio “alto” su 29 persone segnalat</w:t>
      </w:r>
      <w:r w:rsidRPr="00B001FE">
        <w:rPr>
          <w:rFonts w:asciiTheme="minorHAnsi" w:eastAsia="Calibri" w:hAnsiTheme="minorHAnsi"/>
          <w:sz w:val="20"/>
          <w:lang w:eastAsia="en-US"/>
        </w:rPr>
        <w:t>e 26 sono state prese in carico.</w:t>
      </w:r>
    </w:p>
    <w:p w:rsidR="005F13D8" w:rsidRPr="00B001FE" w:rsidRDefault="005F13D8" w:rsidP="005F13D8">
      <w:p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Nell’anno 2017 sono stati individuati e nominati i Referenti Organizzativi delle Case della Salute dei Distretti di Pavullo, Sassuolo, Vignola, Castelfranco Emilia, Mirandola e Carpi</w:t>
      </w:r>
      <w:r w:rsidR="00A84F6B" w:rsidRPr="00B001FE">
        <w:rPr>
          <w:rFonts w:asciiTheme="minorHAnsi" w:eastAsia="Calibri" w:hAnsiTheme="minorHAnsi"/>
          <w:sz w:val="20"/>
          <w:lang w:eastAsia="en-US"/>
        </w:rPr>
        <w:t xml:space="preserve">, </w:t>
      </w:r>
      <w:r w:rsidR="00ED6F20" w:rsidRPr="00B001FE">
        <w:rPr>
          <w:rFonts w:asciiTheme="minorHAnsi" w:eastAsia="Calibri" w:hAnsiTheme="minorHAnsi"/>
          <w:sz w:val="20"/>
          <w:lang w:eastAsia="en-US"/>
        </w:rPr>
        <w:t>previsti da</w:t>
      </w:r>
      <w:r w:rsidR="00A84F6B" w:rsidRPr="00B001FE">
        <w:rPr>
          <w:rFonts w:asciiTheme="minorHAnsi" w:eastAsia="Calibri" w:hAnsiTheme="minorHAnsi"/>
          <w:sz w:val="20"/>
          <w:lang w:eastAsia="en-US"/>
        </w:rPr>
        <w:t xml:space="preserve">lla DGR </w:t>
      </w:r>
      <w:r w:rsidR="00ED6F20" w:rsidRPr="00B001FE">
        <w:rPr>
          <w:rFonts w:asciiTheme="minorHAnsi" w:eastAsia="Calibri" w:hAnsiTheme="minorHAnsi"/>
          <w:sz w:val="20"/>
          <w:lang w:eastAsia="en-US"/>
        </w:rPr>
        <w:t>2128</w:t>
      </w:r>
      <w:r w:rsidR="00A84F6B" w:rsidRPr="00B001FE">
        <w:rPr>
          <w:rFonts w:asciiTheme="minorHAnsi" w:eastAsia="Calibri" w:hAnsiTheme="minorHAnsi"/>
          <w:sz w:val="20"/>
          <w:lang w:eastAsia="en-US"/>
        </w:rPr>
        <w:t>/2016</w:t>
      </w:r>
      <w:r w:rsidRPr="00B001FE">
        <w:rPr>
          <w:rFonts w:asciiTheme="minorHAnsi" w:eastAsia="Calibri" w:hAnsiTheme="minorHAnsi"/>
          <w:sz w:val="20"/>
          <w:lang w:eastAsia="en-US"/>
        </w:rPr>
        <w:t>.</w:t>
      </w:r>
    </w:p>
    <w:p w:rsidR="00AC6483" w:rsidRPr="00B001FE" w:rsidRDefault="00AC6483" w:rsidP="005F13D8">
      <w:p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 xml:space="preserve">Fondamentale l'attività degli ambulatori infermieristici, avviati in tutti i distretti (5 a Carpi, 2 a Mirandola, 2 a Modena, 2 a Castelfranco Emilia, 3 a Sassuolo, 4 a Pavullo e 6 a Vignola), che ha visto in numero assoluto un incremento degli </w:t>
      </w:r>
      <w:r w:rsidR="007A1696" w:rsidRPr="00B001FE">
        <w:rPr>
          <w:rFonts w:asciiTheme="minorHAnsi" w:eastAsia="Calibri" w:hAnsiTheme="minorHAnsi"/>
          <w:sz w:val="20"/>
          <w:lang w:eastAsia="en-US"/>
        </w:rPr>
        <w:t>utenti</w:t>
      </w:r>
      <w:r w:rsidRPr="00B001FE">
        <w:rPr>
          <w:rFonts w:asciiTheme="minorHAnsi" w:eastAsia="Calibri" w:hAnsiTheme="minorHAnsi"/>
          <w:sz w:val="20"/>
          <w:lang w:eastAsia="en-US"/>
        </w:rPr>
        <w:t xml:space="preserve"> e delle prestazioni</w:t>
      </w:r>
      <w:r w:rsidR="007A1696" w:rsidRPr="00B001FE">
        <w:rPr>
          <w:rFonts w:asciiTheme="minorHAnsi" w:eastAsia="Calibri" w:hAnsiTheme="minorHAnsi"/>
          <w:sz w:val="20"/>
          <w:lang w:eastAsia="en-US"/>
        </w:rPr>
        <w:t xml:space="preserve"> erogate</w:t>
      </w:r>
      <w:r w:rsidRPr="00B001FE">
        <w:rPr>
          <w:rFonts w:asciiTheme="minorHAnsi" w:eastAsia="Calibri" w:hAnsiTheme="minorHAnsi"/>
          <w:sz w:val="20"/>
          <w:lang w:eastAsia="en-US"/>
        </w:rPr>
        <w:t>. In Azienda sono stati presi in carico, nell’anno 2017, 4.086 pazienti (vs 3.600 del 2016) per un totale di 52.427 accessi (vs 30.599 del 2016) e 52.442 prestazioni (vs 45.955 del 2016).</w:t>
      </w:r>
      <w:r w:rsidR="007A1696" w:rsidRPr="00B001FE">
        <w:rPr>
          <w:rFonts w:asciiTheme="minorHAnsi" w:eastAsia="Calibri" w:hAnsiTheme="minorHAnsi"/>
          <w:sz w:val="20"/>
          <w:lang w:eastAsia="en-US"/>
        </w:rPr>
        <w:t xml:space="preserve"> </w:t>
      </w:r>
    </w:p>
    <w:p w:rsidR="00AC6483" w:rsidRPr="00B001FE" w:rsidRDefault="00AC6483" w:rsidP="00AC6483">
      <w:pPr>
        <w:spacing w:before="0"/>
        <w:jc w:val="center"/>
        <w:rPr>
          <w:rFonts w:asciiTheme="minorHAnsi" w:eastAsia="Calibri" w:hAnsiTheme="minorHAnsi"/>
          <w:sz w:val="20"/>
          <w:lang w:eastAsia="en-US"/>
        </w:rPr>
      </w:pPr>
      <w:r w:rsidRPr="00B001FE">
        <w:rPr>
          <w:noProof/>
          <w:lang w:eastAsia="it-IT" w:bidi="ar-SA"/>
        </w:rPr>
        <w:drawing>
          <wp:inline distT="0" distB="0" distL="0" distR="0" wp14:anchorId="74A6F017" wp14:editId="393A85CD">
            <wp:extent cx="5947654" cy="3048782"/>
            <wp:effectExtent l="0" t="0" r="15240" b="18415"/>
            <wp:docPr id="68" name="Gra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C6483" w:rsidRPr="00B001FE" w:rsidRDefault="00AC6483" w:rsidP="005F13D8">
      <w:pPr>
        <w:spacing w:before="0"/>
        <w:jc w:val="both"/>
        <w:rPr>
          <w:rFonts w:asciiTheme="minorHAnsi" w:eastAsia="Calibri" w:hAnsiTheme="minorHAnsi"/>
          <w:sz w:val="20"/>
          <w:lang w:eastAsia="en-US"/>
        </w:rPr>
      </w:pPr>
    </w:p>
    <w:p w:rsidR="00E27519" w:rsidRPr="00B001FE" w:rsidRDefault="00E27519">
      <w:pPr>
        <w:jc w:val="both"/>
        <w:rPr>
          <w:rFonts w:asciiTheme="minorHAnsi" w:eastAsia="Calibri" w:hAnsiTheme="minorHAnsi"/>
          <w:lang w:eastAsia="en-US"/>
        </w:rPr>
      </w:pPr>
    </w:p>
    <w:p w:rsidR="00E27519" w:rsidRPr="00B001FE" w:rsidRDefault="0003178C">
      <w:pPr>
        <w:pStyle w:val="Titolo3Verdana"/>
        <w:rPr>
          <w:rFonts w:asciiTheme="minorHAnsi" w:eastAsia="Calibri" w:hAnsiTheme="minorHAnsi"/>
        </w:rPr>
      </w:pPr>
      <w:bookmarkStart w:id="17" w:name="_Toc518040055"/>
      <w:r w:rsidRPr="00B001FE">
        <w:rPr>
          <w:rFonts w:asciiTheme="minorHAnsi" w:eastAsia="Calibri" w:hAnsiTheme="minorHAnsi"/>
        </w:rPr>
        <w:t>2.2 Gli Ospedali di Comunità</w:t>
      </w:r>
      <w:bookmarkEnd w:id="17"/>
    </w:p>
    <w:p w:rsidR="00E27519" w:rsidRPr="00B001FE" w:rsidRDefault="0003178C">
      <w:pPr>
        <w:spacing w:before="0"/>
        <w:jc w:val="both"/>
        <w:rPr>
          <w:rFonts w:asciiTheme="minorHAnsi" w:hAnsiTheme="minorHAnsi"/>
          <w:sz w:val="20"/>
        </w:rPr>
      </w:pPr>
      <w:r w:rsidRPr="00B001FE">
        <w:rPr>
          <w:rFonts w:asciiTheme="minorHAnsi" w:hAnsiTheme="minorHAnsi"/>
          <w:sz w:val="20"/>
        </w:rPr>
        <w:t>L'OsCo è una struttura dedicata all’a</w:t>
      </w:r>
      <w:r w:rsidR="009652B9" w:rsidRPr="00B001FE">
        <w:rPr>
          <w:rFonts w:asciiTheme="minorHAnsi" w:hAnsiTheme="minorHAnsi"/>
          <w:sz w:val="20"/>
        </w:rPr>
        <w:t>s</w:t>
      </w:r>
      <w:r w:rsidRPr="00B001FE">
        <w:rPr>
          <w:rFonts w:asciiTheme="minorHAnsi" w:hAnsiTheme="minorHAnsi"/>
          <w:sz w:val="20"/>
        </w:rPr>
        <w:t>sistenza integrata con la rete dei servizi territoriali, in grado di erogare assistenza sanitaria attraverso ricoveri a bassa intensit</w:t>
      </w:r>
      <w:r w:rsidR="00D947E6" w:rsidRPr="00B001FE">
        <w:rPr>
          <w:rFonts w:asciiTheme="minorHAnsi" w:hAnsiTheme="minorHAnsi"/>
          <w:sz w:val="20"/>
        </w:rPr>
        <w:t xml:space="preserve">à </w:t>
      </w:r>
      <w:r w:rsidRPr="00B001FE">
        <w:rPr>
          <w:rFonts w:asciiTheme="minorHAnsi" w:hAnsiTheme="minorHAnsi"/>
          <w:sz w:val="20"/>
        </w:rPr>
        <w:t xml:space="preserve">e di breve durata, con modelli assistenziali intermedi tra l’assistenza domiciliare e l’ospedalizzazione. L’OsCO </w:t>
      </w:r>
      <w:r w:rsidR="00315DEF" w:rsidRPr="00B001FE">
        <w:rPr>
          <w:rFonts w:asciiTheme="minorHAnsi" w:hAnsiTheme="minorHAnsi"/>
          <w:sz w:val="20"/>
        </w:rPr>
        <w:t>è</w:t>
      </w:r>
      <w:r w:rsidRPr="00B001FE">
        <w:rPr>
          <w:rFonts w:asciiTheme="minorHAnsi" w:hAnsiTheme="minorHAnsi"/>
          <w:sz w:val="20"/>
        </w:rPr>
        <w:t xml:space="preserve"> dotato di posti letto destinati a pazienti residenti che, pur non presentando patologie acute ad elevata necessità di assistenza medica, non possono essere assistiti adeguatamente a domicilio e risultano per questo spesso impropriamente ospedalizzati. Si accede all’OsCo su richiesta del MMG, dal proprio domicilio, in alternativa all’ospedale, oppure, in dimissione dall’ospedale, al termine della fase acuta e prima di tornare al proprio domicilio. </w:t>
      </w:r>
    </w:p>
    <w:p w:rsidR="00E27519" w:rsidRPr="00B001FE" w:rsidRDefault="0003178C">
      <w:pPr>
        <w:spacing w:before="0"/>
        <w:jc w:val="both"/>
        <w:rPr>
          <w:rFonts w:asciiTheme="minorHAnsi" w:hAnsiTheme="minorHAnsi"/>
          <w:sz w:val="20"/>
        </w:rPr>
      </w:pPr>
      <w:r w:rsidRPr="00B001FE">
        <w:rPr>
          <w:rFonts w:asciiTheme="minorHAnsi" w:hAnsiTheme="minorHAnsi"/>
          <w:sz w:val="20"/>
        </w:rPr>
        <w:lastRenderedPageBreak/>
        <w:t>La responsabilità clinica all'interno dell'OsCo viene garantita dai</w:t>
      </w:r>
      <w:r w:rsidR="007B6796" w:rsidRPr="00B001FE">
        <w:rPr>
          <w:rFonts w:asciiTheme="minorHAnsi" w:hAnsiTheme="minorHAnsi"/>
          <w:sz w:val="20"/>
        </w:rPr>
        <w:t xml:space="preserve"> medici di medicina generale.  L</w:t>
      </w:r>
      <w:r w:rsidRPr="00B001FE">
        <w:rPr>
          <w:rFonts w:asciiTheme="minorHAnsi" w:hAnsiTheme="minorHAnsi"/>
          <w:sz w:val="20"/>
        </w:rPr>
        <w:t>a responsabilità dell’assistenza, della gestione della piattaforma logistica e dell’organizzazione è in capo al coordinatore infermieristico. L’assistenza dei pazienti in OsCo viene garantita dalla presenza infermieristica nell’arco delle 24 ore coadiuvata da personale OSS e altri professionisti quando necessario (es. fisioterapista). Gli infermieri sono responsabili della corretta applicazione del PAI (piano assistenziale individualizzato).</w:t>
      </w:r>
    </w:p>
    <w:p w:rsidR="00E27519" w:rsidRPr="00B001FE" w:rsidRDefault="0003178C">
      <w:p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 xml:space="preserve">Nell’Azienda USL di Modena, sono attualmente attivi due OsCo, uno a Castelfranco Emilia (17pl attivi, in prospettiva 20pl) e uno a Fanano (15 pl). </w:t>
      </w:r>
      <w:r w:rsidR="007A1696" w:rsidRPr="00B001FE">
        <w:rPr>
          <w:rFonts w:asciiTheme="minorHAnsi" w:eastAsia="Calibri" w:hAnsiTheme="minorHAnsi"/>
          <w:sz w:val="20"/>
          <w:lang w:eastAsia="en-US"/>
        </w:rPr>
        <w:t xml:space="preserve">Nel corso del 2017 è proseguita la </w:t>
      </w:r>
      <w:r w:rsidRPr="00B001FE">
        <w:rPr>
          <w:rFonts w:asciiTheme="minorHAnsi" w:eastAsia="Calibri" w:hAnsiTheme="minorHAnsi"/>
          <w:sz w:val="20"/>
          <w:lang w:eastAsia="en-US"/>
        </w:rPr>
        <w:t>progettazione esecutiva dell'OsCo di Mirandola e di Finale Emilia (entrambi gi</w:t>
      </w:r>
      <w:r w:rsidR="00D947E6" w:rsidRPr="00B001FE">
        <w:rPr>
          <w:rFonts w:asciiTheme="minorHAnsi" w:eastAsia="Calibri" w:hAnsiTheme="minorHAnsi"/>
          <w:sz w:val="20"/>
          <w:lang w:eastAsia="en-US"/>
        </w:rPr>
        <w:t xml:space="preserve">à </w:t>
      </w:r>
      <w:r w:rsidRPr="00B001FE">
        <w:rPr>
          <w:rFonts w:asciiTheme="minorHAnsi" w:eastAsia="Calibri" w:hAnsiTheme="minorHAnsi"/>
          <w:sz w:val="20"/>
          <w:lang w:eastAsia="en-US"/>
        </w:rPr>
        <w:t xml:space="preserve">finanziati). </w:t>
      </w:r>
    </w:p>
    <w:p w:rsidR="00E27519" w:rsidRPr="00B001FE" w:rsidRDefault="0003178C" w:rsidP="007B6796">
      <w:p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 xml:space="preserve">L'OsCo di Castelfranco Emilia è stato realizzato nell'ambito della Casa della Salute Regina Margherita e della trasformazione del precedente Ospedale che prevedrà anche la costruzione di un Hospice (apertura prevista </w:t>
      </w:r>
      <w:r w:rsidR="007A1696" w:rsidRPr="00B001FE">
        <w:rPr>
          <w:rFonts w:asciiTheme="minorHAnsi" w:eastAsia="Calibri" w:hAnsiTheme="minorHAnsi"/>
          <w:sz w:val="20"/>
          <w:lang w:eastAsia="en-US"/>
        </w:rPr>
        <w:t>nel 2019</w:t>
      </w:r>
      <w:r w:rsidRPr="00B001FE">
        <w:rPr>
          <w:rFonts w:asciiTheme="minorHAnsi" w:eastAsia="Calibri" w:hAnsiTheme="minorHAnsi"/>
          <w:sz w:val="20"/>
          <w:lang w:eastAsia="en-US"/>
        </w:rPr>
        <w:t>). L'OsCo di Fanano è ottenuto dalla trasformazione di letti RSA. L'OsCo in progettazione esecutiva a Finale Emilia è ottenuto dalla trasformazione del precedente ospedale danneggiato dal terremoto.</w:t>
      </w:r>
    </w:p>
    <w:p w:rsidR="007B6796" w:rsidRPr="00B001FE" w:rsidRDefault="007B6796" w:rsidP="007B6796">
      <w:p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 xml:space="preserve">La proposta di ricovero </w:t>
      </w:r>
      <w:r w:rsidR="007A1696" w:rsidRPr="00B001FE">
        <w:rPr>
          <w:rFonts w:asciiTheme="minorHAnsi" w:eastAsia="Calibri" w:hAnsiTheme="minorHAnsi"/>
          <w:sz w:val="20"/>
          <w:lang w:eastAsia="en-US"/>
        </w:rPr>
        <w:t xml:space="preserve">in OsCo </w:t>
      </w:r>
      <w:r w:rsidRPr="00B001FE">
        <w:rPr>
          <w:rFonts w:asciiTheme="minorHAnsi" w:eastAsia="Calibri" w:hAnsiTheme="minorHAnsi"/>
          <w:sz w:val="20"/>
          <w:lang w:eastAsia="en-US"/>
        </w:rPr>
        <w:t>è sempre effettuata dall'UVM e sempre gestita dal PUASS. Il PUASS è composto da: infermiere (Case Manager), Medico inviante (se da Ospedale medico di reparto, sa da domicilio MMG curante). In caso di bisogni specifici all'UVM di base si aggiungono AS, Fisioterapista, Specialista. Per tutti i pazienti che entrano in OsCo viene effettuata una valutazione multidimensionale e multi-professionale. La multi-professionalità si esprime attraverso l'utilizzo di strumenti validati e condivisi e mediante l'applicazione di una procedura che mette in sinergia e connessione i diversi professionisti, sanitari e del sociale, coinvolti nel progetto del paziente, sia nella fase di accesso che di monitoraggio e dimissione protetta. Questa modalità è risultata funzionale in termini di copertura dei posti letto in tempi congrui al bisogno del paziente.</w:t>
      </w:r>
    </w:p>
    <w:p w:rsidR="00D47230" w:rsidRPr="00B001FE" w:rsidRDefault="00D47230" w:rsidP="007B6796">
      <w:p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I pazienti dimessi dagli OsCO della Provincia di Modena sono stati 415 nel 2017, con una degenza media pari a 19.9 giorni.</w:t>
      </w:r>
    </w:p>
    <w:p w:rsidR="00D47230" w:rsidRPr="00B001FE" w:rsidRDefault="00D47230" w:rsidP="00D47230">
      <w:pPr>
        <w:spacing w:before="0"/>
        <w:jc w:val="center"/>
        <w:rPr>
          <w:rFonts w:asciiTheme="minorHAnsi" w:eastAsia="Calibri" w:hAnsiTheme="minorHAnsi"/>
          <w:sz w:val="20"/>
          <w:lang w:eastAsia="en-US"/>
        </w:rPr>
      </w:pPr>
      <w:r w:rsidRPr="00B001FE">
        <w:rPr>
          <w:noProof/>
          <w:lang w:eastAsia="it-IT" w:bidi="ar-SA"/>
        </w:rPr>
        <w:drawing>
          <wp:inline distT="0" distB="0" distL="0" distR="0" wp14:anchorId="60AF35A8" wp14:editId="6C2F40B3">
            <wp:extent cx="4572000" cy="2743200"/>
            <wp:effectExtent l="0" t="0" r="0" b="0"/>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47230" w:rsidRPr="00B001FE" w:rsidRDefault="00D47230" w:rsidP="007B6796">
      <w:pPr>
        <w:spacing w:before="0"/>
        <w:jc w:val="both"/>
        <w:rPr>
          <w:rFonts w:asciiTheme="minorHAnsi" w:eastAsia="Calibri" w:hAnsiTheme="minorHAnsi"/>
          <w:sz w:val="20"/>
          <w:lang w:eastAsia="en-US"/>
        </w:rPr>
      </w:pPr>
    </w:p>
    <w:p w:rsidR="00E27519" w:rsidRPr="00B001FE" w:rsidRDefault="00D47230" w:rsidP="00D47230">
      <w:pPr>
        <w:spacing w:before="0"/>
        <w:jc w:val="center"/>
        <w:rPr>
          <w:rFonts w:eastAsia="Calibri"/>
          <w:b/>
          <w:sz w:val="20"/>
          <w:lang w:eastAsia="en-US"/>
        </w:rPr>
      </w:pPr>
      <w:r w:rsidRPr="00B001FE">
        <w:rPr>
          <w:noProof/>
          <w:lang w:eastAsia="it-IT" w:bidi="ar-SA"/>
        </w:rPr>
        <w:lastRenderedPageBreak/>
        <w:drawing>
          <wp:inline distT="0" distB="0" distL="0" distR="0" wp14:anchorId="794E82E5" wp14:editId="3110948C">
            <wp:extent cx="4572000" cy="2743200"/>
            <wp:effectExtent l="0" t="0" r="0" b="0"/>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47230" w:rsidRPr="00B001FE" w:rsidRDefault="00D47230">
      <w:pPr>
        <w:spacing w:before="0"/>
        <w:jc w:val="both"/>
        <w:rPr>
          <w:rFonts w:eastAsia="Calibri"/>
          <w:b/>
          <w:sz w:val="20"/>
          <w:lang w:eastAsia="en-US"/>
        </w:rPr>
      </w:pPr>
    </w:p>
    <w:p w:rsidR="00D47230" w:rsidRPr="00B001FE" w:rsidRDefault="00D47230">
      <w:pPr>
        <w:spacing w:before="0"/>
        <w:jc w:val="both"/>
        <w:rPr>
          <w:rFonts w:asciiTheme="minorHAnsi" w:eastAsia="Calibri" w:hAnsiTheme="minorHAnsi"/>
          <w:sz w:val="20"/>
          <w:lang w:eastAsia="en-US"/>
        </w:rPr>
      </w:pPr>
      <w:r w:rsidRPr="00B001FE">
        <w:rPr>
          <w:rFonts w:asciiTheme="minorHAnsi" w:eastAsia="Calibri" w:hAnsiTheme="minorHAnsi"/>
          <w:sz w:val="20"/>
          <w:lang w:eastAsia="en-US"/>
        </w:rPr>
        <w:t>La dimissione dei pazienti ricoverati negli Ospedali di Comunità di Fanano e Castelfranco Emilia è avvenuta principalmente per dimissione ordinaria al domicilio del paziente</w:t>
      </w:r>
      <w:r w:rsidR="00B16F46" w:rsidRPr="00B001FE">
        <w:rPr>
          <w:rFonts w:asciiTheme="minorHAnsi" w:eastAsia="Calibri" w:hAnsiTheme="minorHAnsi"/>
          <w:sz w:val="20"/>
          <w:lang w:eastAsia="en-US"/>
        </w:rPr>
        <w:t>, percentuale in diminuzione rispetto al 2016</w:t>
      </w:r>
      <w:r w:rsidRPr="00B001FE">
        <w:rPr>
          <w:rFonts w:asciiTheme="minorHAnsi" w:eastAsia="Calibri" w:hAnsiTheme="minorHAnsi"/>
          <w:sz w:val="20"/>
          <w:lang w:eastAsia="en-US"/>
        </w:rPr>
        <w:t>. Soltanto il 18.1% dei pazienti sono stati ricoverati in altro ospedale dopo il ricovero in OSCO.</w:t>
      </w:r>
    </w:p>
    <w:p w:rsidR="00D47230" w:rsidRPr="00B001FE" w:rsidRDefault="00D47230" w:rsidP="00D47230">
      <w:pPr>
        <w:spacing w:before="0"/>
        <w:jc w:val="center"/>
        <w:rPr>
          <w:rFonts w:eastAsia="Calibri"/>
          <w:b/>
          <w:sz w:val="20"/>
          <w:lang w:eastAsia="en-US"/>
        </w:rPr>
      </w:pPr>
      <w:r w:rsidRPr="00B001FE">
        <w:rPr>
          <w:noProof/>
          <w:lang w:eastAsia="it-IT" w:bidi="ar-SA"/>
        </w:rPr>
        <w:drawing>
          <wp:inline distT="0" distB="0" distL="0" distR="0" wp14:anchorId="11691547" wp14:editId="3FC2127F">
            <wp:extent cx="6290554" cy="3048782"/>
            <wp:effectExtent l="0" t="0" r="15240" b="18415"/>
            <wp:docPr id="33" name="Gra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7519" w:rsidRPr="00B001FE" w:rsidRDefault="0003178C">
      <w:pPr>
        <w:pStyle w:val="Titolo3Verdana"/>
        <w:rPr>
          <w:rFonts w:asciiTheme="minorHAnsi" w:eastAsia="Calibri" w:hAnsiTheme="minorHAnsi"/>
        </w:rPr>
      </w:pPr>
      <w:bookmarkStart w:id="18" w:name="_Toc518040056"/>
      <w:r w:rsidRPr="00B001FE">
        <w:rPr>
          <w:rFonts w:asciiTheme="minorHAnsi" w:eastAsia="Calibri" w:hAnsiTheme="minorHAnsi"/>
        </w:rPr>
        <w:t>2.3 L’assistenza Specialistica Ambulatoriale</w:t>
      </w:r>
      <w:bookmarkEnd w:id="18"/>
    </w:p>
    <w:p w:rsidR="00E27519" w:rsidRPr="00B001FE" w:rsidRDefault="0003178C">
      <w:pPr>
        <w:spacing w:before="0"/>
        <w:jc w:val="both"/>
        <w:rPr>
          <w:rFonts w:asciiTheme="minorHAnsi" w:hAnsiTheme="minorHAnsi"/>
          <w:sz w:val="20"/>
        </w:rPr>
      </w:pPr>
      <w:r w:rsidRPr="00B001FE">
        <w:rPr>
          <w:rFonts w:asciiTheme="minorHAnsi" w:hAnsiTheme="minorHAnsi"/>
          <w:sz w:val="20"/>
        </w:rPr>
        <w:t xml:space="preserve"> La garanzia del mantenimento dei tempi massimi di accesso alle prestazioni specialistiche ambulatoriali e di diagnostica previsti dalla Regione Emilia Romagna per le 42 prestazioni oggetto di monitoraggio</w:t>
      </w:r>
      <w:r w:rsidR="00D947E6" w:rsidRPr="00B001FE">
        <w:rPr>
          <w:rFonts w:asciiTheme="minorHAnsi" w:hAnsiTheme="minorHAnsi"/>
          <w:sz w:val="20"/>
        </w:rPr>
        <w:t xml:space="preserve"> è</w:t>
      </w:r>
      <w:r w:rsidRPr="00B001FE">
        <w:rPr>
          <w:rFonts w:asciiTheme="minorHAnsi" w:hAnsiTheme="minorHAnsi"/>
          <w:sz w:val="20"/>
        </w:rPr>
        <w:t xml:space="preserve"> stato un o</w:t>
      </w:r>
      <w:r w:rsidR="00F24D55" w:rsidRPr="00B001FE">
        <w:rPr>
          <w:rFonts w:asciiTheme="minorHAnsi" w:hAnsiTheme="minorHAnsi"/>
          <w:sz w:val="20"/>
        </w:rPr>
        <w:t>biettivo prioritario per il 2017</w:t>
      </w:r>
      <w:r w:rsidRPr="00B001FE">
        <w:rPr>
          <w:rFonts w:asciiTheme="minorHAnsi" w:hAnsiTheme="minorHAnsi"/>
          <w:sz w:val="20"/>
        </w:rPr>
        <w:t>.I risultati, visibili nelle tabelle sottostanti, mostrano un ul</w:t>
      </w:r>
      <w:r w:rsidR="00D947E6" w:rsidRPr="00B001FE">
        <w:rPr>
          <w:rFonts w:asciiTheme="minorHAnsi" w:hAnsiTheme="minorHAnsi"/>
          <w:sz w:val="20"/>
        </w:rPr>
        <w:t>t</w:t>
      </w:r>
      <w:r w:rsidR="00F24D55" w:rsidRPr="00B001FE">
        <w:rPr>
          <w:rFonts w:asciiTheme="minorHAnsi" w:hAnsiTheme="minorHAnsi"/>
          <w:sz w:val="20"/>
        </w:rPr>
        <w:t>eriore</w:t>
      </w:r>
      <w:r w:rsidRPr="00B001FE">
        <w:rPr>
          <w:rFonts w:asciiTheme="minorHAnsi" w:hAnsiTheme="minorHAnsi"/>
          <w:sz w:val="20"/>
        </w:rPr>
        <w:t xml:space="preserve"> miglioramento in ordine ai tempi di attesa delle visite specialistiche e delle prestazioni diagnostiche sia urgenti, con priorità entro 7 giorni, che non urgenti, con priorità entro 36/60/90 giorni, rispetto a quanto gi</w:t>
      </w:r>
      <w:r w:rsidR="00D947E6" w:rsidRPr="00B001FE">
        <w:rPr>
          <w:rFonts w:asciiTheme="minorHAnsi" w:hAnsiTheme="minorHAnsi"/>
          <w:sz w:val="20"/>
        </w:rPr>
        <w:t xml:space="preserve">à </w:t>
      </w:r>
      <w:r w:rsidRPr="00B001FE">
        <w:rPr>
          <w:rFonts w:asciiTheme="minorHAnsi" w:hAnsiTheme="minorHAnsi"/>
          <w:sz w:val="20"/>
        </w:rPr>
        <w:t>raggiunto a fine 201</w:t>
      </w:r>
      <w:r w:rsidR="00F24D55" w:rsidRPr="00B001FE">
        <w:rPr>
          <w:rFonts w:asciiTheme="minorHAnsi" w:hAnsiTheme="minorHAnsi"/>
          <w:sz w:val="20"/>
        </w:rPr>
        <w:t>6</w:t>
      </w:r>
      <w:r w:rsidRPr="00B001FE">
        <w:rPr>
          <w:rFonts w:asciiTheme="minorHAnsi" w:hAnsiTheme="minorHAnsi"/>
          <w:sz w:val="20"/>
        </w:rPr>
        <w:t xml:space="preserve">. </w:t>
      </w:r>
    </w:p>
    <w:p w:rsidR="00F24D55" w:rsidRPr="00B001FE" w:rsidRDefault="0003178C" w:rsidP="00F24D55">
      <w:pPr>
        <w:spacing w:before="0"/>
        <w:jc w:val="both"/>
        <w:rPr>
          <w:rFonts w:asciiTheme="minorHAnsi" w:hAnsiTheme="minorHAnsi"/>
          <w:sz w:val="20"/>
        </w:rPr>
      </w:pPr>
      <w:r w:rsidRPr="00B001FE">
        <w:rPr>
          <w:rFonts w:asciiTheme="minorHAnsi" w:hAnsiTheme="minorHAnsi"/>
          <w:sz w:val="20"/>
        </w:rPr>
        <w:t>Il risul</w:t>
      </w:r>
      <w:r w:rsidR="00F24D55" w:rsidRPr="00B001FE">
        <w:rPr>
          <w:rFonts w:asciiTheme="minorHAnsi" w:hAnsiTheme="minorHAnsi"/>
          <w:sz w:val="20"/>
        </w:rPr>
        <w:t>tato raggiunto nel dicembre 2017</w:t>
      </w:r>
      <w:r w:rsidRPr="00B001FE">
        <w:rPr>
          <w:rFonts w:asciiTheme="minorHAnsi" w:hAnsiTheme="minorHAnsi"/>
          <w:sz w:val="20"/>
        </w:rPr>
        <w:t xml:space="preserve"> è il frutto di un lavoro iniziato nel 2015, quando la situazione del tempi d’attesa dell’attività specialistica ambulatoriale riportava forti criticità, in quanto erano garantite entro i tempi previsti dalla normativa </w:t>
      </w:r>
      <w:r w:rsidRPr="00B001FE">
        <w:rPr>
          <w:rFonts w:asciiTheme="minorHAnsi" w:hAnsiTheme="minorHAnsi"/>
          <w:sz w:val="20"/>
        </w:rPr>
        <w:lastRenderedPageBreak/>
        <w:t xml:space="preserve">(30 gg per le visite, 60 gg per gli esami strumentali) solo il 58% delle prestazioni, con alcune gravi problematiche riguardanti le visite endocrinologiche, pneumologiche, ginecologiche e la diagnostica pesante. </w:t>
      </w:r>
      <w:r w:rsidR="00F24D55" w:rsidRPr="00B001FE">
        <w:rPr>
          <w:rFonts w:asciiTheme="minorHAnsi" w:hAnsiTheme="minorHAnsi"/>
          <w:sz w:val="20"/>
        </w:rPr>
        <w:t>I risultati raggiunti in ordine al miglioramento dei tempi di attesa delle prestazioni di specialistica ambulatoriale (come da DGR n.1056/2015) sono visibili nella tabella allegata (fonte dati SpagoBi RER) e mostrano un sostanziale consolidamento dei risultati già ottenuti nel 2016 per visite e prestazioni ordinarie prescritte con priorità D entro 36/60 giorni.</w:t>
      </w:r>
    </w:p>
    <w:p w:rsidR="00F24D55" w:rsidRPr="00B001FE" w:rsidRDefault="00F24D55" w:rsidP="00F24D55">
      <w:pPr>
        <w:spacing w:before="0"/>
        <w:jc w:val="both"/>
        <w:rPr>
          <w:rFonts w:asciiTheme="minorHAnsi" w:hAnsiTheme="minorHAnsi"/>
          <w:sz w:val="20"/>
        </w:rPr>
      </w:pPr>
      <w:r w:rsidRPr="00B001FE">
        <w:rPr>
          <w:rFonts w:asciiTheme="minorHAnsi" w:hAnsiTheme="minorHAnsi"/>
          <w:sz w:val="20"/>
        </w:rPr>
        <w:t>L’obiettivo, previsto anche dalla Delibera di Programmazione n.830/2017, prevede il raggiungimento di un IP &gt;90% sia per le visite che per le prestazioni di diagnostica (primi accessi). Tale indice si è mantenuto per tutto l’anno costantemente tra il 97% e il 100%.</w:t>
      </w:r>
    </w:p>
    <w:p w:rsidR="00E27519" w:rsidRPr="00B001FE" w:rsidRDefault="00F24D55" w:rsidP="00F24D55">
      <w:pPr>
        <w:spacing w:before="0"/>
        <w:jc w:val="both"/>
        <w:rPr>
          <w:rFonts w:asciiTheme="minorHAnsi" w:hAnsiTheme="minorHAnsi"/>
          <w:sz w:val="20"/>
        </w:rPr>
      </w:pPr>
      <w:r w:rsidRPr="00B001FE">
        <w:rPr>
          <w:rFonts w:asciiTheme="minorHAnsi" w:hAnsiTheme="minorHAnsi"/>
          <w:sz w:val="20"/>
        </w:rPr>
        <w:t>Nel 2017 è</w:t>
      </w:r>
      <w:r w:rsidR="0003178C" w:rsidRPr="00B001FE">
        <w:rPr>
          <w:rFonts w:asciiTheme="minorHAnsi" w:hAnsiTheme="minorHAnsi"/>
          <w:sz w:val="20"/>
        </w:rPr>
        <w:t xml:space="preserve"> stata, inoltre, effettuata un’analisi strategica rispetto alle scelte quali-quantitative di "Make or Buy" per il mantenimento della continuità dell'offerta.</w:t>
      </w:r>
      <w:r w:rsidRPr="00B001FE">
        <w:rPr>
          <w:rFonts w:asciiTheme="minorHAnsi" w:hAnsiTheme="minorHAnsi"/>
          <w:sz w:val="20"/>
        </w:rPr>
        <w:t xml:space="preserve"> Rispetto al 2016 l’aggregato segna un incremento di 13,1 milioni, di cui 11,8 dovuti alla rimodulazione dell’accordo di fornitura con l’Azienda Ospedaliera in conseguenza del trasferimento dell’Ospedale di Baggiovara.</w:t>
      </w:r>
    </w:p>
    <w:p w:rsidR="00F24D55" w:rsidRDefault="00F24D55" w:rsidP="00F24D55">
      <w:pPr>
        <w:spacing w:before="0"/>
        <w:jc w:val="both"/>
        <w:rPr>
          <w:rFonts w:asciiTheme="minorHAnsi" w:hAnsiTheme="minorHAnsi"/>
          <w:sz w:val="20"/>
        </w:rPr>
      </w:pPr>
      <w:r w:rsidRPr="00B001FE">
        <w:rPr>
          <w:rFonts w:asciiTheme="minorHAnsi" w:hAnsiTheme="minorHAnsi"/>
          <w:sz w:val="20"/>
        </w:rPr>
        <w:t>Nel 2017 si è verificata la riduzione del 9,4% di mancate di presentazioni 2017 rispetto al 2016. La diminuzione è calcolata sul rapporto tra mancate presentazioni e prenotazioni sanzionabili 2016 (con data prenotazione successiva al 4/04/2016 e appuntamento entro il 2016) e mancate presentazioni prenotazioni sanzionabili 2017 (prenotazione successiva al 4/04/2016 e appuntamento entro il 31/12/2017).</w:t>
      </w:r>
    </w:p>
    <w:p w:rsidR="00965897" w:rsidRDefault="00965897">
      <w:pPr>
        <w:suppressAutoHyphens w:val="0"/>
        <w:spacing w:before="0"/>
        <w:ind w:left="284" w:right="284"/>
        <w:jc w:val="both"/>
        <w:rPr>
          <w:rFonts w:cs="Verdana"/>
          <w:b/>
          <w:i/>
          <w:sz w:val="20"/>
          <w:szCs w:val="22"/>
          <w:lang w:eastAsia="it-IT"/>
        </w:rPr>
      </w:pPr>
    </w:p>
    <w:p w:rsidR="00965897" w:rsidRDefault="00965897">
      <w:pPr>
        <w:suppressAutoHyphens w:val="0"/>
        <w:spacing w:before="0"/>
        <w:ind w:left="284" w:right="284"/>
        <w:jc w:val="both"/>
        <w:rPr>
          <w:rFonts w:cs="Verdana"/>
          <w:b/>
          <w:i/>
          <w:sz w:val="20"/>
          <w:szCs w:val="22"/>
          <w:lang w:eastAsia="it-IT"/>
        </w:rPr>
      </w:pPr>
    </w:p>
    <w:p w:rsidR="00E27519" w:rsidRDefault="0003178C">
      <w:pPr>
        <w:suppressAutoHyphens w:val="0"/>
        <w:spacing w:before="0"/>
        <w:ind w:left="284" w:right="284"/>
        <w:jc w:val="both"/>
        <w:rPr>
          <w:rFonts w:cs="Verdana"/>
          <w:b/>
          <w:i/>
          <w:sz w:val="20"/>
          <w:szCs w:val="22"/>
          <w:lang w:eastAsia="it-IT"/>
        </w:rPr>
      </w:pPr>
      <w:r>
        <w:rPr>
          <w:rFonts w:cs="Verdana"/>
          <w:b/>
          <w:i/>
          <w:sz w:val="20"/>
          <w:szCs w:val="22"/>
          <w:lang w:eastAsia="it-IT"/>
        </w:rPr>
        <w:t>Indice di Performance TDA – Anno 201</w:t>
      </w:r>
      <w:r w:rsidR="00F24D55">
        <w:rPr>
          <w:rFonts w:cs="Verdana"/>
          <w:b/>
          <w:i/>
          <w:sz w:val="20"/>
          <w:szCs w:val="22"/>
          <w:lang w:eastAsia="it-IT"/>
        </w:rPr>
        <w:t>7</w:t>
      </w:r>
    </w:p>
    <w:p w:rsidR="00E27519" w:rsidRDefault="00F24D55">
      <w:pPr>
        <w:suppressAutoHyphens w:val="0"/>
        <w:spacing w:before="0"/>
        <w:ind w:right="284"/>
        <w:jc w:val="center"/>
        <w:rPr>
          <w:rFonts w:cs="Verdana"/>
          <w:b/>
          <w:i/>
          <w:szCs w:val="22"/>
          <w:lang w:eastAsia="it-IT"/>
        </w:rPr>
      </w:pPr>
      <w:r w:rsidRPr="00535F06">
        <w:rPr>
          <w:rFonts w:cs="Verdana"/>
          <w:b/>
          <w:i/>
          <w:noProof/>
          <w:sz w:val="20"/>
          <w:szCs w:val="22"/>
          <w:lang w:eastAsia="it-IT" w:bidi="ar-SA"/>
        </w:rPr>
        <w:lastRenderedPageBreak/>
        <w:drawing>
          <wp:inline distT="0" distB="0" distL="0" distR="0" wp14:anchorId="727201C9" wp14:editId="67D07822">
            <wp:extent cx="5468505" cy="7524066"/>
            <wp:effectExtent l="0" t="0" r="0" b="1270"/>
            <wp:docPr id="30" name="Immagine 30" descr="Fabbri_td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Fabbri_tda 20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3331" cy="7530707"/>
                    </a:xfrm>
                    <a:prstGeom prst="rect">
                      <a:avLst/>
                    </a:prstGeom>
                    <a:noFill/>
                    <a:ln>
                      <a:noFill/>
                    </a:ln>
                  </pic:spPr>
                </pic:pic>
              </a:graphicData>
            </a:graphic>
          </wp:inline>
        </w:drawing>
      </w:r>
    </w:p>
    <w:p w:rsidR="00E27519" w:rsidRDefault="0003178C">
      <w:pPr>
        <w:suppressAutoHyphens w:val="0"/>
        <w:spacing w:before="0"/>
        <w:rPr>
          <w:rFonts w:cs="Verdana"/>
          <w:b/>
          <w:i/>
          <w:sz w:val="20"/>
          <w:szCs w:val="22"/>
          <w:lang w:eastAsia="it-IT"/>
        </w:rPr>
      </w:pPr>
      <w:r>
        <w:rPr>
          <w:rFonts w:cs="Verdana"/>
          <w:b/>
          <w:i/>
          <w:sz w:val="20"/>
          <w:szCs w:val="22"/>
          <w:lang w:eastAsia="it-IT"/>
        </w:rPr>
        <w:br w:type="page"/>
      </w:r>
    </w:p>
    <w:p w:rsidR="00E27519" w:rsidRDefault="00E27519">
      <w:pPr>
        <w:spacing w:before="0"/>
        <w:jc w:val="both"/>
        <w:rPr>
          <w:rFonts w:asciiTheme="minorHAnsi" w:hAnsiTheme="minorHAnsi"/>
          <w:b/>
          <w:sz w:val="20"/>
        </w:rPr>
      </w:pPr>
    </w:p>
    <w:p w:rsidR="00E27519" w:rsidRPr="000B0699" w:rsidRDefault="0003178C">
      <w:pPr>
        <w:pStyle w:val="Titolo3Verdana"/>
        <w:rPr>
          <w:rFonts w:asciiTheme="minorHAnsi" w:eastAsia="Calibri" w:hAnsiTheme="minorHAnsi"/>
          <w:lang w:val="it-IT"/>
        </w:rPr>
      </w:pPr>
      <w:bookmarkStart w:id="19" w:name="_Toc518040057"/>
      <w:r w:rsidRPr="00B001FE">
        <w:rPr>
          <w:rFonts w:asciiTheme="minorHAnsi" w:eastAsia="Calibri" w:hAnsiTheme="minorHAnsi"/>
        </w:rPr>
        <w:t>2.4 Prestazioni di ricovero ospedaliero</w:t>
      </w:r>
      <w:bookmarkEnd w:id="19"/>
    </w:p>
    <w:p w:rsidR="00C17090" w:rsidRPr="00B55A63" w:rsidRDefault="00C17090" w:rsidP="00C17090">
      <w:pPr>
        <w:pStyle w:val="Standard"/>
        <w:rPr>
          <w:sz w:val="20"/>
        </w:rPr>
      </w:pPr>
      <w:r w:rsidRPr="00B55A63">
        <w:rPr>
          <w:color w:val="000000"/>
          <w:sz w:val="20"/>
        </w:rPr>
        <w:t>Al fine di perseguire gli obiettivi di contenimento dei tempi d’attesa per prestazioni chirurgiche programmate, durante l’anno 2017 sono state intraprese azioni sul governo della domanda e di governo dell’appropriatezza allocativa delle risorse disponibili:</w:t>
      </w:r>
    </w:p>
    <w:p w:rsidR="00C17090" w:rsidRPr="00B55A63" w:rsidRDefault="00C17090" w:rsidP="00C17090">
      <w:pPr>
        <w:pStyle w:val="Standard"/>
        <w:numPr>
          <w:ilvl w:val="0"/>
          <w:numId w:val="38"/>
        </w:numPr>
        <w:autoSpaceDN w:val="0"/>
        <w:spacing w:before="80" w:after="0" w:line="240" w:lineRule="auto"/>
        <w:jc w:val="both"/>
        <w:rPr>
          <w:color w:val="000000"/>
          <w:sz w:val="20"/>
        </w:rPr>
      </w:pPr>
      <w:r w:rsidRPr="00B55A63">
        <w:rPr>
          <w:color w:val="000000"/>
          <w:sz w:val="20"/>
        </w:rPr>
        <w:t xml:space="preserve">monitoraggio costante sulla gestione delle priorità degli interventi e dei tempi di garanzia previsti dalla DGR </w:t>
      </w:r>
      <w:r>
        <w:rPr>
          <w:color w:val="000000"/>
          <w:sz w:val="20"/>
        </w:rPr>
        <w:t>n.</w:t>
      </w:r>
      <w:r w:rsidRPr="00B55A63">
        <w:rPr>
          <w:color w:val="000000"/>
          <w:sz w:val="20"/>
        </w:rPr>
        <w:t>272/2017;</w:t>
      </w:r>
    </w:p>
    <w:p w:rsidR="00C17090" w:rsidRPr="00B55A63" w:rsidRDefault="00C17090" w:rsidP="00C17090">
      <w:pPr>
        <w:pStyle w:val="Standard"/>
        <w:numPr>
          <w:ilvl w:val="0"/>
          <w:numId w:val="38"/>
        </w:numPr>
        <w:autoSpaceDN w:val="0"/>
        <w:spacing w:before="80" w:after="0" w:line="240" w:lineRule="auto"/>
        <w:jc w:val="both"/>
        <w:rPr>
          <w:color w:val="000000"/>
          <w:sz w:val="20"/>
        </w:rPr>
      </w:pPr>
      <w:r w:rsidRPr="00B55A63">
        <w:rPr>
          <w:color w:val="000000"/>
          <w:sz w:val="20"/>
        </w:rPr>
        <w:t>reingegnerizzazione dei prericoveri attraverso la standardizzazione dei processi;</w:t>
      </w:r>
    </w:p>
    <w:p w:rsidR="00C17090" w:rsidRPr="00B55A63" w:rsidRDefault="00C17090" w:rsidP="00C17090">
      <w:pPr>
        <w:pStyle w:val="Standard"/>
        <w:numPr>
          <w:ilvl w:val="0"/>
          <w:numId w:val="38"/>
        </w:numPr>
        <w:autoSpaceDN w:val="0"/>
        <w:spacing w:before="80" w:after="0" w:line="240" w:lineRule="auto"/>
        <w:jc w:val="both"/>
        <w:rPr>
          <w:color w:val="000000"/>
          <w:sz w:val="20"/>
        </w:rPr>
      </w:pPr>
      <w:r w:rsidRPr="00B55A63">
        <w:rPr>
          <w:color w:val="000000"/>
          <w:sz w:val="20"/>
        </w:rPr>
        <w:t>assegnazione delle sedute operatorie sulla base delle liste d’attesa;</w:t>
      </w:r>
    </w:p>
    <w:p w:rsidR="00C17090" w:rsidRPr="00B55A63" w:rsidRDefault="00C17090" w:rsidP="00C17090">
      <w:pPr>
        <w:pStyle w:val="Standard"/>
        <w:numPr>
          <w:ilvl w:val="0"/>
          <w:numId w:val="38"/>
        </w:numPr>
        <w:autoSpaceDN w:val="0"/>
        <w:spacing w:before="80" w:after="0" w:line="240" w:lineRule="auto"/>
        <w:jc w:val="both"/>
        <w:rPr>
          <w:color w:val="000000"/>
          <w:sz w:val="20"/>
        </w:rPr>
      </w:pPr>
      <w:r w:rsidRPr="00B55A63">
        <w:rPr>
          <w:color w:val="000000"/>
          <w:sz w:val="20"/>
        </w:rPr>
        <w:t>attività formativa sull’utilizzo degli applicativi e sulle linee di indirizzo regionali di gestione delle liste d’attesa;</w:t>
      </w:r>
    </w:p>
    <w:p w:rsidR="00C17090" w:rsidRPr="00B55A63" w:rsidRDefault="00C17090" w:rsidP="00C17090">
      <w:pPr>
        <w:pStyle w:val="Standard"/>
        <w:numPr>
          <w:ilvl w:val="0"/>
          <w:numId w:val="38"/>
        </w:numPr>
        <w:autoSpaceDN w:val="0"/>
        <w:spacing w:before="80" w:after="0" w:line="240" w:lineRule="auto"/>
        <w:jc w:val="both"/>
        <w:rPr>
          <w:color w:val="000000"/>
          <w:sz w:val="20"/>
        </w:rPr>
      </w:pPr>
      <w:r w:rsidRPr="00B55A63">
        <w:rPr>
          <w:color w:val="000000"/>
          <w:sz w:val="20"/>
        </w:rPr>
        <w:t>sinergie di rete sul territorio provinciale.</w:t>
      </w:r>
    </w:p>
    <w:p w:rsidR="00C17090" w:rsidRDefault="00C17090" w:rsidP="00C17090">
      <w:pPr>
        <w:pStyle w:val="Standard"/>
        <w:rPr>
          <w:color w:val="000000"/>
          <w:sz w:val="20"/>
        </w:rPr>
      </w:pPr>
    </w:p>
    <w:p w:rsidR="00C17090" w:rsidRDefault="00C17090" w:rsidP="00C17090">
      <w:pPr>
        <w:pStyle w:val="Standard"/>
        <w:rPr>
          <w:color w:val="000000"/>
          <w:sz w:val="20"/>
        </w:rPr>
      </w:pPr>
      <w:r w:rsidRPr="00B55A63">
        <w:rPr>
          <w:color w:val="000000"/>
          <w:sz w:val="20"/>
        </w:rPr>
        <w:t xml:space="preserve">Quanto sopra ha consentito il </w:t>
      </w:r>
      <w:r>
        <w:rPr>
          <w:color w:val="000000"/>
          <w:sz w:val="20"/>
        </w:rPr>
        <w:t xml:space="preserve">progressivo miglioramento dei risultati fino al </w:t>
      </w:r>
      <w:r w:rsidRPr="00B55A63">
        <w:rPr>
          <w:color w:val="000000"/>
          <w:sz w:val="20"/>
        </w:rPr>
        <w:t xml:space="preserve">raggiungimento </w:t>
      </w:r>
      <w:r>
        <w:rPr>
          <w:color w:val="000000"/>
          <w:sz w:val="20"/>
        </w:rPr>
        <w:t xml:space="preserve">del target regionale atteso, </w:t>
      </w:r>
      <w:r w:rsidRPr="00B55A63">
        <w:rPr>
          <w:color w:val="000000"/>
          <w:sz w:val="20"/>
        </w:rPr>
        <w:t>come si evince dalle tabelle sottostanti.</w:t>
      </w:r>
    </w:p>
    <w:p w:rsidR="00C17090" w:rsidRPr="00B55A63" w:rsidRDefault="00C17090" w:rsidP="00C17090">
      <w:pPr>
        <w:pStyle w:val="Standard"/>
        <w:rPr>
          <w:color w:val="000000"/>
          <w:sz w:val="20"/>
        </w:rPr>
      </w:pPr>
    </w:p>
    <w:p w:rsidR="00C17090" w:rsidRPr="00252A8A" w:rsidRDefault="00C17090" w:rsidP="00C17090">
      <w:pPr>
        <w:pStyle w:val="Standard"/>
        <w:rPr>
          <w:color w:val="000000"/>
        </w:rPr>
      </w:pPr>
      <w:r w:rsidRPr="00535F06">
        <w:rPr>
          <w:noProof/>
          <w:color w:val="000000"/>
          <w:lang w:eastAsia="it-IT"/>
        </w:rPr>
        <w:drawing>
          <wp:inline distT="0" distB="0" distL="0" distR="0">
            <wp:extent cx="6621263" cy="3114675"/>
            <wp:effectExtent l="0" t="0" r="825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3426" cy="3115693"/>
                    </a:xfrm>
                    <a:prstGeom prst="rect">
                      <a:avLst/>
                    </a:prstGeom>
                    <a:noFill/>
                    <a:ln>
                      <a:noFill/>
                    </a:ln>
                  </pic:spPr>
                </pic:pic>
              </a:graphicData>
            </a:graphic>
          </wp:inline>
        </w:drawing>
      </w:r>
    </w:p>
    <w:p w:rsidR="00C17090" w:rsidRPr="00252A8A" w:rsidRDefault="00C17090" w:rsidP="00C17090">
      <w:pPr>
        <w:pStyle w:val="Standard"/>
        <w:rPr>
          <w:color w:val="000000"/>
        </w:rPr>
      </w:pPr>
    </w:p>
    <w:p w:rsidR="00E27519" w:rsidRDefault="00E27519">
      <w:pPr>
        <w:spacing w:before="0"/>
        <w:jc w:val="both"/>
        <w:rPr>
          <w:rFonts w:asciiTheme="minorHAnsi" w:hAnsiTheme="minorHAnsi"/>
          <w:b/>
          <w:sz w:val="20"/>
        </w:rPr>
      </w:pPr>
    </w:p>
    <w:p w:rsidR="00E27519" w:rsidRDefault="0003178C">
      <w:pPr>
        <w:pStyle w:val="Titolo3Verdana"/>
        <w:rPr>
          <w:rFonts w:asciiTheme="minorHAnsi" w:eastAsia="Calibri" w:hAnsiTheme="minorHAnsi"/>
        </w:rPr>
      </w:pPr>
      <w:bookmarkStart w:id="20" w:name="_Toc518040058"/>
      <w:r>
        <w:rPr>
          <w:rFonts w:asciiTheme="minorHAnsi" w:eastAsia="Calibri" w:hAnsiTheme="minorHAnsi"/>
        </w:rPr>
        <w:t>2.5 L’accesso ai servizi di salute mentale</w:t>
      </w:r>
      <w:bookmarkEnd w:id="20"/>
      <w:r>
        <w:rPr>
          <w:rFonts w:asciiTheme="minorHAnsi" w:eastAsia="Calibri" w:hAnsiTheme="minorHAnsi"/>
        </w:rPr>
        <w:t xml:space="preserve"> </w:t>
      </w:r>
    </w:p>
    <w:p w:rsidR="007D3E3E" w:rsidRPr="00B001FE" w:rsidRDefault="007D3E3E" w:rsidP="007D3E3E">
      <w:pPr>
        <w:spacing w:before="0"/>
        <w:jc w:val="both"/>
        <w:rPr>
          <w:rFonts w:asciiTheme="minorHAnsi" w:hAnsiTheme="minorHAnsi"/>
          <w:sz w:val="20"/>
        </w:rPr>
      </w:pPr>
      <w:bookmarkStart w:id="21" w:name="_Toc461708199"/>
      <w:bookmarkEnd w:id="21"/>
      <w:r w:rsidRPr="00B001FE">
        <w:rPr>
          <w:rFonts w:asciiTheme="minorHAnsi" w:hAnsiTheme="minorHAnsi"/>
          <w:sz w:val="20"/>
        </w:rPr>
        <w:t xml:space="preserve">Per quanto riguarda il </w:t>
      </w:r>
      <w:r w:rsidR="00FB0206" w:rsidRPr="00B001FE">
        <w:rPr>
          <w:rFonts w:asciiTheme="minorHAnsi" w:hAnsiTheme="minorHAnsi"/>
          <w:sz w:val="20"/>
        </w:rPr>
        <w:t>settore</w:t>
      </w:r>
      <w:r w:rsidRPr="00B001FE">
        <w:rPr>
          <w:rFonts w:asciiTheme="minorHAnsi" w:hAnsiTheme="minorHAnsi"/>
          <w:sz w:val="20"/>
        </w:rPr>
        <w:t xml:space="preserve"> Salute Mentale Adulti, settore che attua programmi terapeutico-riabilitativi e socio-riabilitativi personalizzati, con le modalità proprie dell’approccio integrato, tramite interventi ambulatoriali, domiciliari, di “rete”, ed eventualmente anche residenziali, rivolti a persone adulte con problemi di salute mentale, si registra un numero di nuovi utenti (persone al primo contatto) pari a 5.089 ed un numero di utenti in carico pari a 9.130.</w:t>
      </w:r>
    </w:p>
    <w:p w:rsidR="007D3E3E" w:rsidRPr="00B001FE" w:rsidRDefault="00FB0206" w:rsidP="00FB0206">
      <w:pPr>
        <w:spacing w:before="0"/>
        <w:jc w:val="center"/>
        <w:rPr>
          <w:rFonts w:asciiTheme="minorHAnsi" w:hAnsiTheme="minorHAnsi"/>
          <w:sz w:val="20"/>
        </w:rPr>
      </w:pPr>
      <w:r w:rsidRPr="00B001FE">
        <w:rPr>
          <w:noProof/>
          <w:lang w:eastAsia="it-IT" w:bidi="ar-SA"/>
        </w:rPr>
        <w:lastRenderedPageBreak/>
        <w:drawing>
          <wp:inline distT="0" distB="0" distL="0" distR="0" wp14:anchorId="1E318AFB" wp14:editId="3C949B3E">
            <wp:extent cx="4572000" cy="2743200"/>
            <wp:effectExtent l="0" t="0" r="0" b="0"/>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B0206" w:rsidRPr="00B001FE" w:rsidRDefault="00FB0206" w:rsidP="00C07214">
      <w:pPr>
        <w:ind w:right="284"/>
        <w:jc w:val="both"/>
        <w:rPr>
          <w:rFonts w:eastAsia="Calibri"/>
          <w:sz w:val="16"/>
          <w:lang w:eastAsia="en-US"/>
        </w:rPr>
      </w:pPr>
      <w:r w:rsidRPr="00B001FE">
        <w:rPr>
          <w:rFonts w:eastAsia="Calibri"/>
          <w:sz w:val="16"/>
          <w:lang w:eastAsia="en-US"/>
        </w:rPr>
        <w:t>* Il dato considera l’utenza delle U.O. minori e famiglie, centri adolescenza, psicologia clinica adulti, terapia familiare.</w:t>
      </w:r>
    </w:p>
    <w:p w:rsidR="008062DD" w:rsidRPr="00B001FE" w:rsidRDefault="008062DD" w:rsidP="008062DD">
      <w:pPr>
        <w:spacing w:before="0"/>
        <w:jc w:val="both"/>
        <w:rPr>
          <w:rFonts w:asciiTheme="minorHAnsi" w:hAnsiTheme="minorHAnsi"/>
          <w:sz w:val="20"/>
        </w:rPr>
      </w:pPr>
      <w:r w:rsidRPr="00B001FE">
        <w:rPr>
          <w:rFonts w:asciiTheme="minorHAnsi" w:hAnsiTheme="minorHAnsi"/>
          <w:sz w:val="20"/>
        </w:rPr>
        <w:t>Nell’anno 2017, il tasso complessivo di ospedalizzazione in acuto dei residenti maggiorenni nella provincia di Modena è stato pari a 24,1 x 10.000 abitanti. Nel 2016 il tasso della provincia era sceso sotto il tasso regionale (26,8 x 10.000 nel 2015); questo trend viene confermato per il 2017, con dati che mostrano una stabilizzazione del processo di inversione nelle attività ospedaliere.</w:t>
      </w:r>
    </w:p>
    <w:p w:rsidR="00E27519" w:rsidRPr="00B001FE" w:rsidRDefault="008062DD" w:rsidP="008062DD">
      <w:pPr>
        <w:spacing w:before="0"/>
        <w:jc w:val="both"/>
        <w:rPr>
          <w:rFonts w:asciiTheme="minorHAnsi" w:hAnsiTheme="minorHAnsi"/>
          <w:sz w:val="20"/>
        </w:rPr>
      </w:pPr>
      <w:r w:rsidRPr="00B001FE">
        <w:rPr>
          <w:rFonts w:asciiTheme="minorHAnsi" w:hAnsiTheme="minorHAnsi"/>
          <w:sz w:val="20"/>
        </w:rPr>
        <w:t>Nel calcolo sono state considerate le dimissioni ordinarie effettuate dai reparti psichiatrici delle strutture a gestione diretta e private accreditate dell’Azienda USL di Modena.</w:t>
      </w:r>
    </w:p>
    <w:p w:rsidR="008062DD" w:rsidRPr="00B001FE" w:rsidRDefault="00E27EA9" w:rsidP="00E27EA9">
      <w:pPr>
        <w:spacing w:before="0"/>
        <w:jc w:val="center"/>
        <w:rPr>
          <w:rFonts w:asciiTheme="minorHAnsi" w:hAnsiTheme="minorHAnsi"/>
          <w:sz w:val="20"/>
        </w:rPr>
      </w:pPr>
      <w:r w:rsidRPr="00B001FE">
        <w:rPr>
          <w:noProof/>
          <w:lang w:eastAsia="it-IT" w:bidi="ar-SA"/>
        </w:rPr>
        <w:drawing>
          <wp:inline distT="0" distB="0" distL="0" distR="0" wp14:anchorId="4C849C17" wp14:editId="2C14674D">
            <wp:extent cx="4572000" cy="2743200"/>
            <wp:effectExtent l="0" t="0" r="0" b="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498F" w:rsidRPr="00B001FE" w:rsidRDefault="00E8498F" w:rsidP="00E8498F">
      <w:pPr>
        <w:spacing w:before="0"/>
        <w:jc w:val="both"/>
        <w:rPr>
          <w:rFonts w:asciiTheme="minorHAnsi" w:hAnsiTheme="minorHAnsi"/>
          <w:sz w:val="20"/>
        </w:rPr>
      </w:pPr>
      <w:r w:rsidRPr="00B001FE">
        <w:rPr>
          <w:rFonts w:asciiTheme="minorHAnsi" w:hAnsiTheme="minorHAnsi"/>
          <w:sz w:val="20"/>
        </w:rPr>
        <w:t xml:space="preserve">Il 37,7% degli episodi di ricovero si svolge in una struttura a gestione diretta. </w:t>
      </w:r>
    </w:p>
    <w:p w:rsidR="00E27EA9" w:rsidRPr="00B001FE" w:rsidRDefault="00E8498F" w:rsidP="00E8498F">
      <w:pPr>
        <w:spacing w:before="0"/>
        <w:jc w:val="both"/>
        <w:rPr>
          <w:rFonts w:asciiTheme="minorHAnsi" w:hAnsiTheme="minorHAnsi"/>
          <w:sz w:val="20"/>
        </w:rPr>
      </w:pPr>
      <w:r w:rsidRPr="00B001FE">
        <w:rPr>
          <w:rFonts w:asciiTheme="minorHAnsi" w:hAnsiTheme="minorHAnsi"/>
          <w:sz w:val="20"/>
        </w:rPr>
        <w:t>Nel 2017 la durata media dei ricoveri ospedalieri avvenuti in tutti i presidi considerati è stata di 11,7 giorni, con un incremento rispetto al 2016 dell’1,7%.</w:t>
      </w:r>
    </w:p>
    <w:p w:rsidR="00E8498F" w:rsidRDefault="00E8498F" w:rsidP="00E8498F">
      <w:pPr>
        <w:spacing w:before="0"/>
        <w:jc w:val="center"/>
        <w:rPr>
          <w:rFonts w:asciiTheme="minorHAnsi" w:hAnsiTheme="minorHAnsi"/>
          <w:sz w:val="20"/>
          <w:highlight w:val="green"/>
        </w:rPr>
      </w:pPr>
      <w:r>
        <w:rPr>
          <w:noProof/>
          <w:lang w:eastAsia="it-IT" w:bidi="ar-SA"/>
        </w:rPr>
        <w:lastRenderedPageBreak/>
        <w:drawing>
          <wp:inline distT="0" distB="0" distL="0" distR="0" wp14:anchorId="7D550B64" wp14:editId="25CBBD48">
            <wp:extent cx="4572000" cy="2743200"/>
            <wp:effectExtent l="0" t="0" r="0" b="0"/>
            <wp:docPr id="28"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8498F" w:rsidRPr="00B001FE" w:rsidRDefault="00E8498F" w:rsidP="00E8498F">
      <w:pPr>
        <w:spacing w:before="0"/>
        <w:jc w:val="both"/>
        <w:rPr>
          <w:rFonts w:asciiTheme="minorHAnsi" w:hAnsiTheme="minorHAnsi"/>
          <w:sz w:val="20"/>
        </w:rPr>
      </w:pPr>
      <w:r w:rsidRPr="00B001FE">
        <w:rPr>
          <w:rFonts w:asciiTheme="minorHAnsi" w:hAnsiTheme="minorHAnsi"/>
          <w:sz w:val="20"/>
        </w:rPr>
        <w:t>Il numero complessivo di giornate di degenza diminuisce del 2,3%, passando da 19.012 nel 2016 a 18.581 nel 2017.</w:t>
      </w:r>
    </w:p>
    <w:p w:rsidR="00E8498F" w:rsidRPr="00B001FE" w:rsidRDefault="00E8498F" w:rsidP="00E8498F">
      <w:pPr>
        <w:spacing w:before="0"/>
        <w:jc w:val="both"/>
        <w:rPr>
          <w:rFonts w:asciiTheme="minorHAnsi" w:hAnsiTheme="minorHAnsi"/>
          <w:sz w:val="20"/>
        </w:rPr>
      </w:pPr>
      <w:r w:rsidRPr="00B001FE">
        <w:rPr>
          <w:rFonts w:asciiTheme="minorHAnsi" w:hAnsiTheme="minorHAnsi"/>
          <w:sz w:val="20"/>
        </w:rPr>
        <w:t xml:space="preserve">L’indicatore più frequentemente utilizzato per segnalare la coerenza delle prassi assistenziali con i principi della legge di riforma dell’assistenza psichiatrica è quello relativo ai Trattamenti Sanitari Obbligatori. </w:t>
      </w:r>
    </w:p>
    <w:p w:rsidR="00E8498F" w:rsidRPr="00B001FE" w:rsidRDefault="00E8498F" w:rsidP="00E8498F">
      <w:pPr>
        <w:spacing w:before="0"/>
        <w:jc w:val="both"/>
        <w:rPr>
          <w:rFonts w:asciiTheme="minorHAnsi" w:hAnsiTheme="minorHAnsi"/>
          <w:sz w:val="20"/>
        </w:rPr>
      </w:pPr>
      <w:r w:rsidRPr="00B001FE">
        <w:rPr>
          <w:rFonts w:asciiTheme="minorHAnsi" w:hAnsiTheme="minorHAnsi"/>
          <w:sz w:val="20"/>
        </w:rPr>
        <w:t>Nell’anno 2017, il tasso di ospedalizzazione per Trattamento Sanitario Obbligatorio degli utenti residenti maggiorenni nel territorio di Modena è stato pari a 20,2 x 100.000 abitanti maggiorenni.</w:t>
      </w:r>
    </w:p>
    <w:p w:rsidR="00E8498F" w:rsidRDefault="00E8498F" w:rsidP="00E8498F">
      <w:pPr>
        <w:spacing w:before="0"/>
        <w:jc w:val="center"/>
        <w:rPr>
          <w:rFonts w:asciiTheme="minorHAnsi" w:hAnsiTheme="minorHAnsi"/>
          <w:sz w:val="20"/>
          <w:highlight w:val="green"/>
        </w:rPr>
      </w:pPr>
      <w:r>
        <w:rPr>
          <w:noProof/>
          <w:lang w:eastAsia="it-IT" w:bidi="ar-SA"/>
        </w:rPr>
        <w:drawing>
          <wp:inline distT="0" distB="0" distL="0" distR="0" wp14:anchorId="3415C05D" wp14:editId="1E8CF333">
            <wp:extent cx="4572000" cy="2743200"/>
            <wp:effectExtent l="0" t="0" r="0" b="0"/>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8498F" w:rsidRPr="00E8498F" w:rsidRDefault="00E8498F" w:rsidP="00E8498F">
      <w:pPr>
        <w:spacing w:before="0"/>
        <w:jc w:val="both"/>
        <w:rPr>
          <w:rFonts w:asciiTheme="minorHAnsi" w:hAnsiTheme="minorHAnsi"/>
          <w:sz w:val="20"/>
          <w:highlight w:val="green"/>
        </w:rPr>
      </w:pPr>
    </w:p>
    <w:p w:rsidR="009B7B7A" w:rsidRDefault="0003178C">
      <w:pPr>
        <w:pStyle w:val="Titolo3Verdana"/>
        <w:rPr>
          <w:rFonts w:asciiTheme="minorHAnsi" w:eastAsia="Calibri" w:hAnsiTheme="minorHAnsi"/>
          <w:lang w:val="it-IT"/>
        </w:rPr>
      </w:pPr>
      <w:bookmarkStart w:id="22" w:name="_Toc518040059"/>
      <w:r w:rsidRPr="009B7B7A">
        <w:rPr>
          <w:rFonts w:asciiTheme="minorHAnsi" w:eastAsia="Calibri" w:hAnsiTheme="minorHAnsi"/>
        </w:rPr>
        <w:t xml:space="preserve">2.6 </w:t>
      </w:r>
      <w:r w:rsidRPr="009B7B7A">
        <w:rPr>
          <w:rFonts w:asciiTheme="minorHAnsi" w:eastAsia="Calibri" w:hAnsiTheme="minorHAnsi"/>
          <w:lang w:val="it-IT"/>
        </w:rPr>
        <w:t>Politiche per l’Equità</w:t>
      </w:r>
      <w:bookmarkEnd w:id="22"/>
      <w:r w:rsidR="009B7B7A" w:rsidRPr="009B7B7A">
        <w:rPr>
          <w:rFonts w:asciiTheme="minorHAnsi" w:eastAsia="Calibri" w:hAnsiTheme="minorHAnsi"/>
          <w:lang w:val="it-IT"/>
        </w:rPr>
        <w:t xml:space="preserve"> </w:t>
      </w:r>
    </w:p>
    <w:p w:rsidR="00E27519" w:rsidRDefault="009B7B7A">
      <w:pPr>
        <w:pStyle w:val="Titolo3Verdana"/>
        <w:rPr>
          <w:rFonts w:asciiTheme="minorHAnsi" w:eastAsia="Calibri" w:hAnsiTheme="minorHAnsi"/>
          <w:lang w:val="it-IT"/>
        </w:rPr>
      </w:pPr>
      <w:bookmarkStart w:id="23" w:name="_Toc518040060"/>
      <w:r w:rsidRPr="009B7B7A">
        <w:rPr>
          <w:rFonts w:asciiTheme="minorHAnsi" w:eastAsia="Calibri" w:hAnsiTheme="minorHAnsi"/>
          <w:lang w:val="it-IT"/>
        </w:rPr>
        <w:t>Health Equity Audit Percorso Nascita</w:t>
      </w:r>
      <w:bookmarkEnd w:id="23"/>
    </w:p>
    <w:p w:rsidR="009B7B7A" w:rsidRPr="009B7B7A" w:rsidRDefault="009B7B7A" w:rsidP="009B7B7A">
      <w:pPr>
        <w:spacing w:before="0"/>
        <w:jc w:val="both"/>
        <w:rPr>
          <w:rStyle w:val="Enfasi"/>
          <w:rFonts w:asciiTheme="minorHAnsi" w:hAnsiTheme="minorHAnsi"/>
          <w:i w:val="0"/>
        </w:rPr>
      </w:pPr>
      <w:r w:rsidRPr="009B7B7A">
        <w:rPr>
          <w:rStyle w:val="Enfasi"/>
          <w:rFonts w:asciiTheme="minorHAnsi" w:hAnsiTheme="minorHAnsi"/>
          <w:i w:val="0"/>
        </w:rPr>
        <w:t xml:space="preserve">Nel corso del 2017, l’area di Equity Management in collaborazione con altri servizi aziendali (Epidemiologia, Consultori Familiari e altri) dell’Azienda USL di Modena, ha avviato il lavoro di Health Equity Audit del Percorso </w:t>
      </w:r>
      <w:r w:rsidRPr="009B7B7A">
        <w:rPr>
          <w:rStyle w:val="Enfasi"/>
          <w:rFonts w:asciiTheme="minorHAnsi" w:hAnsiTheme="minorHAnsi"/>
          <w:i w:val="0"/>
        </w:rPr>
        <w:lastRenderedPageBreak/>
        <w:t>Nascita. L’Health Equity Audit è uno strumento di programmazione sanitaria volto a rilevare eventuali diseguaglianze di una specifica popolazione in relazione all’accesso ai servizi sanitari.</w:t>
      </w:r>
    </w:p>
    <w:p w:rsidR="009B7B7A" w:rsidRPr="009B7B7A" w:rsidRDefault="009B7B7A" w:rsidP="009B7B7A">
      <w:pPr>
        <w:spacing w:before="0"/>
        <w:jc w:val="both"/>
        <w:rPr>
          <w:rStyle w:val="Enfasi"/>
          <w:rFonts w:asciiTheme="minorHAnsi" w:hAnsiTheme="minorHAnsi"/>
          <w:i w:val="0"/>
        </w:rPr>
      </w:pPr>
      <w:r w:rsidRPr="009B7B7A">
        <w:rPr>
          <w:rStyle w:val="Enfasi"/>
          <w:rFonts w:asciiTheme="minorHAnsi" w:hAnsiTheme="minorHAnsi"/>
          <w:i w:val="0"/>
        </w:rPr>
        <w:t>La prima fase ha riguardato la definizione del gruppo di lavoro multiprofessionale e delle aree prioritarie di indagine, ovvero: lo studio dei profili individuali delle donne in gravidanza non prese in carico dai Consultori, l’indagine delle ragioni alla base della non presa in carico e/o della incompleta aderenza, lo studio di strumenti per migliorare l’attivazione e l’adesione al Percorso e l’analisi della mobilità di parto delle residenti e i dati di attività dei Punti Nascita.</w:t>
      </w:r>
    </w:p>
    <w:p w:rsidR="009B7B7A" w:rsidRPr="009B7B7A" w:rsidRDefault="009B7B7A" w:rsidP="009B7B7A">
      <w:pPr>
        <w:spacing w:before="0"/>
        <w:jc w:val="both"/>
        <w:rPr>
          <w:rStyle w:val="Enfasi"/>
          <w:rFonts w:asciiTheme="minorHAnsi" w:hAnsiTheme="minorHAnsi"/>
          <w:i w:val="0"/>
        </w:rPr>
      </w:pPr>
      <w:r w:rsidRPr="009B7B7A">
        <w:rPr>
          <w:rStyle w:val="Enfasi"/>
          <w:rFonts w:asciiTheme="minorHAnsi" w:hAnsiTheme="minorHAnsi"/>
          <w:i w:val="0"/>
        </w:rPr>
        <w:t>La seconda fase è stata la definizione dell’Equity Profile della popolazione target (partorienti nel 2017 residenti e assistite, ovunque dimesse), delle donne non prese in carico e delle non aderenti al Percorso, attraverso il collegamento di diverse banche dati cliniche e anagrafiche. Si è evidenziato quindi che il 55% delle partorienti sono state prese in carico dai Consultori, con un drop out del 7% circa. La maggioranza delle non prese in carico sono donne con condizioni socio-economiche favorevoli (occupate, laureate, con cittadinanza Italiana), e i distretti in cui è maggiore la non presa in carico sono Modena e Mirandola. Solamente il 4,3% delle non prese in carico sono donne disoccupate o casalinghe, con licenza media o titolo di studio inferiore e reddito auto-dichiarato del nucleo familiare inferiore a 36.153 euro. Si è inoltre evidenziato che, fra le residenti in distretti con un Punto Nascita di riferimento, la percentuale di donne che vi partorisce va dal 56% di Mirandola all’oltre 80% di Carpi e Modena, e che la non presa in carico è maggiore fra le donne che hanno partorito in un Punto Nascita diverso da quello del distretto di residenza, soprattutto se fuori Provincia.</w:t>
      </w:r>
    </w:p>
    <w:p w:rsidR="009B7B7A" w:rsidRPr="009B7B7A" w:rsidRDefault="009B7B7A" w:rsidP="009B7B7A">
      <w:pPr>
        <w:spacing w:before="0"/>
        <w:jc w:val="both"/>
        <w:rPr>
          <w:rStyle w:val="Enfasi"/>
          <w:rFonts w:asciiTheme="minorHAnsi" w:hAnsiTheme="minorHAnsi"/>
          <w:i w:val="0"/>
        </w:rPr>
      </w:pPr>
      <w:r w:rsidRPr="009B7B7A">
        <w:rPr>
          <w:rStyle w:val="Enfasi"/>
          <w:rFonts w:asciiTheme="minorHAnsi" w:hAnsiTheme="minorHAnsi"/>
          <w:i w:val="0"/>
        </w:rPr>
        <w:t>Una volta focalizzate le diseguaglianze di accesso al percorso dovute soprattutto ad alcuni target di popolazione, sono state individuate alcune azioni di contrasto, come: l’identificazione (con il supporto dei MMG) delle donne in gravidanza non seguite dai Consultori, alle quali effettuare un colloquio informativo del Punto Nascita più vicino e dei servizi offerti dal Consultorio;  la distribuzione nelle farmacie territoriali (con acquisto di un test di gravidanza) e nei laboratorio analisi di un talloncino informativo dei servizi del Consultorio Familiare per la gravidanza. L’attivazione dei colloqui informativi per le gestanti non prese in carico dai Consultori è stata avviata per le residenti nel distretto di Pavullo, mentre la distribuzione del talloncino informativo è stata avviata per le residenti del distretto di Mirandola.</w:t>
      </w:r>
    </w:p>
    <w:p w:rsidR="00E27519" w:rsidRPr="009B7B7A" w:rsidRDefault="009B7B7A" w:rsidP="009B7B7A">
      <w:pPr>
        <w:spacing w:before="0"/>
        <w:jc w:val="both"/>
        <w:rPr>
          <w:rStyle w:val="Enfasi"/>
          <w:rFonts w:asciiTheme="minorHAnsi" w:hAnsiTheme="minorHAnsi"/>
          <w:i w:val="0"/>
        </w:rPr>
      </w:pPr>
      <w:r w:rsidRPr="009B7B7A">
        <w:rPr>
          <w:rStyle w:val="Enfasi"/>
          <w:rFonts w:asciiTheme="minorHAnsi" w:hAnsiTheme="minorHAnsi"/>
          <w:i w:val="0"/>
        </w:rPr>
        <w:t>Nel 2018 si sta continuando l’analisi di HEA, finalizzata ad avere ulteriori elementi conoscitivi tramite una indagine di Customer Experience e di una approfondita analisi del Patient journey delle donne in gravidanza, ciò per mettere in campo eventuali ulteriori azioni di miglioramento del Percorso.</w:t>
      </w:r>
    </w:p>
    <w:p w:rsidR="009B7B7A" w:rsidRDefault="009B7B7A">
      <w:pPr>
        <w:suppressAutoHyphens w:val="0"/>
        <w:spacing w:before="0"/>
      </w:pPr>
    </w:p>
    <w:p w:rsidR="009B7B7A" w:rsidRDefault="009B7B7A" w:rsidP="009B7B7A">
      <w:pPr>
        <w:pStyle w:val="Titolo3Verdana"/>
        <w:rPr>
          <w:rFonts w:asciiTheme="minorHAnsi" w:eastAsia="Calibri" w:hAnsiTheme="minorHAnsi"/>
          <w:lang w:val="it-IT"/>
        </w:rPr>
      </w:pPr>
      <w:bookmarkStart w:id="24" w:name="_Toc518040061"/>
      <w:r w:rsidRPr="009B7B7A">
        <w:rPr>
          <w:rFonts w:asciiTheme="minorHAnsi" w:eastAsia="Calibri" w:hAnsiTheme="minorHAnsi"/>
          <w:lang w:val="it-IT"/>
        </w:rPr>
        <w:t xml:space="preserve">Health Equity Audit Percorso </w:t>
      </w:r>
      <w:r>
        <w:rPr>
          <w:rFonts w:asciiTheme="minorHAnsi" w:eastAsia="Calibri" w:hAnsiTheme="minorHAnsi"/>
          <w:lang w:val="it-IT"/>
        </w:rPr>
        <w:t>Diabete I</w:t>
      </w:r>
      <w:bookmarkEnd w:id="24"/>
    </w:p>
    <w:p w:rsidR="00F9079B" w:rsidRPr="00BC5206" w:rsidRDefault="00F9079B" w:rsidP="00F9079B">
      <w:pPr>
        <w:jc w:val="both"/>
      </w:pPr>
      <w:r w:rsidRPr="00BC5206">
        <w:t>Nel corso del 2017, l’area di Equity Management in collaborazione con altri servizi aziendali (Epidemiologia, Diabetologia, Ingegneria Clinica e altri) dell’Azienda USL di Modena, ha avviato il lavoro di Health Equity Audit del PDTA Diabete per i pazienti con diabete di tipo 1</w:t>
      </w:r>
      <w:r>
        <w:t xml:space="preserve">. </w:t>
      </w:r>
      <w:r w:rsidRPr="00BC5206">
        <w:t>L’Health Equity Audit è uno strumento di programmazione sanita</w:t>
      </w:r>
      <w:r>
        <w:t>ria volto a rilevare eventuali d</w:t>
      </w:r>
      <w:r w:rsidRPr="00BC5206">
        <w:t>iseguaglianze di una specifica popolazione in relazione all’accesso ai servizi sanitari</w:t>
      </w:r>
      <w:r>
        <w:t>.</w:t>
      </w:r>
    </w:p>
    <w:p w:rsidR="00F9079B" w:rsidRPr="00BC5206" w:rsidRDefault="00F9079B" w:rsidP="00F9079B">
      <w:pPr>
        <w:jc w:val="both"/>
      </w:pPr>
      <w:r w:rsidRPr="00BC5206">
        <w:t>La prima fase ha riguardato la definizione del gruppo di lavoro multiprofessionale e delle aree</w:t>
      </w:r>
      <w:r>
        <w:t xml:space="preserve"> </w:t>
      </w:r>
      <w:r w:rsidRPr="00BC5206">
        <w:t xml:space="preserve">prioritarie di indagine, ovvero: l’individuazione di un algoritmo di identificazione dei pazienti con diabete di tipo 1, fra i pazienti presenti nel Registro Diabete; lo studio dei profili individuali dei pazienti </w:t>
      </w:r>
      <w:r>
        <w:t xml:space="preserve">non aderenti (ovvero che non hanno fatto visite diabetologiche, nell’anno di riferimento, presso </w:t>
      </w:r>
      <w:r w:rsidRPr="00BC5206">
        <w:t>i Centri AntiDiabete</w:t>
      </w:r>
      <w:r>
        <w:t>)</w:t>
      </w:r>
      <w:r w:rsidRPr="00BC5206">
        <w:t xml:space="preserve">; l’indagine delle ragioni alla base della </w:t>
      </w:r>
      <w:r>
        <w:t>non</w:t>
      </w:r>
      <w:r w:rsidRPr="00BC5206">
        <w:t xml:space="preserve"> aderenza; lo studio di str</w:t>
      </w:r>
      <w:r>
        <w:t>umenti per migliorarla.</w:t>
      </w:r>
    </w:p>
    <w:p w:rsidR="00F9079B" w:rsidRPr="00BC5206" w:rsidRDefault="00F9079B" w:rsidP="00F9079B">
      <w:pPr>
        <w:jc w:val="both"/>
      </w:pPr>
      <w:r w:rsidRPr="00BC5206">
        <w:lastRenderedPageBreak/>
        <w:t>La seconda fase è stata la definizione dell’Equity Profile della popolazione target (diabetici di tipo 1) e dei non aderenti al PDTA</w:t>
      </w:r>
      <w:r>
        <w:t>, attraverso il collegamento di diverse banche dati cliniche e anagrafiche</w:t>
      </w:r>
      <w:r w:rsidRPr="00BC5206">
        <w:t>. Si è evidenziato quindi che, nel 2016 (anno più recente per il quale è disponibile una base completa di dati già validati per tutti i flussi utilizzati), il 92% dei pazienti hanno effettuato almeno una visita diabetologica presso un CAD. Tra i non aderenti è risultata più frequente che fra gli aderenti la residenza in sezioni censuarie deprivate o molto deprivate</w:t>
      </w:r>
      <w:r>
        <w:t>.</w:t>
      </w:r>
    </w:p>
    <w:p w:rsidR="00F9079B" w:rsidRPr="00BC5206" w:rsidRDefault="00F9079B" w:rsidP="00F9079B">
      <w:pPr>
        <w:jc w:val="both"/>
      </w:pPr>
      <w:r w:rsidRPr="00BC5206">
        <w:t xml:space="preserve">Parallelamente, </w:t>
      </w:r>
      <w:r>
        <w:t xml:space="preserve">è stata condotta nel 2017 una indagine di </w:t>
      </w:r>
      <w:r w:rsidRPr="00BC5206">
        <w:t xml:space="preserve">Customer Experience </w:t>
      </w:r>
      <w:r>
        <w:t xml:space="preserve">che </w:t>
      </w:r>
      <w:r w:rsidRPr="00BC5206">
        <w:t xml:space="preserve">ha </w:t>
      </w:r>
      <w:r>
        <w:t xml:space="preserve">analizzato </w:t>
      </w:r>
      <w:r w:rsidRPr="00BC5206">
        <w:t xml:space="preserve">il Patient Journey dei pazienti con diabete di tipo 1, </w:t>
      </w:r>
      <w:r>
        <w:t xml:space="preserve">ha poi </w:t>
      </w:r>
      <w:r w:rsidRPr="00BC5206">
        <w:t>i</w:t>
      </w:r>
      <w:r>
        <w:t xml:space="preserve">dentificato insieme agli stakeholder il Percorso ideale per poi arrivare a validare insieme a loro ed altre articolazioni organizzative dell’azienda </w:t>
      </w:r>
      <w:r w:rsidRPr="00BC5206">
        <w:t>il Percorso sostenibile, che diminuisce da 8 a 5 il numero di passaggi che i pazienti devono compiere ogni 3 mesi tra visita diabetologica, ritiro di insulina e presidi, esami di laboratorio e successiva visita diabetologica</w:t>
      </w:r>
      <w:r>
        <w:t xml:space="preserve">, prevedendo la </w:t>
      </w:r>
      <w:r w:rsidRPr="0078238A">
        <w:t>possibilità di ritarar</w:t>
      </w:r>
      <w:r>
        <w:t>e presidi e insulina</w:t>
      </w:r>
      <w:r w:rsidRPr="0078238A">
        <w:t xml:space="preserve"> in un unico punto e nella quantità necessaria per almeno tre mesi</w:t>
      </w:r>
      <w:r>
        <w:t>.</w:t>
      </w:r>
    </w:p>
    <w:p w:rsidR="00F9079B" w:rsidRDefault="00F9079B" w:rsidP="00F9079B">
      <w:pPr>
        <w:jc w:val="both"/>
      </w:pPr>
      <w:r w:rsidRPr="00BC5206">
        <w:t xml:space="preserve">Come previsto dalla terza e quarta fase dell’HEA, che riguardano l’identificazione delle diseguaglianze e delle azioni di contrasto, in accordo con gli stakeholders, sulla base delle criticità emerse dal HEA, sono state ampliate </w:t>
      </w:r>
      <w:r>
        <w:t xml:space="preserve">dal 1/1/2018 </w:t>
      </w:r>
      <w:r w:rsidRPr="00BC5206">
        <w:t xml:space="preserve">le fasce di accesso ai CAD per </w:t>
      </w:r>
      <w:r>
        <w:t>agevolare l’aderenza</w:t>
      </w:r>
      <w:r w:rsidRPr="00BC5206">
        <w:t xml:space="preserve"> dei giovani lavoratori, </w:t>
      </w:r>
      <w:r>
        <w:t>è stata a</w:t>
      </w:r>
      <w:r w:rsidRPr="000D7AE9">
        <w:t>ttivata la presenza di uno Psicologo clinico a chiamata secondo necessità</w:t>
      </w:r>
      <w:r>
        <w:t xml:space="preserve"> e la pre</w:t>
      </w:r>
      <w:r w:rsidRPr="000D7AE9">
        <w:t>senza d</w:t>
      </w:r>
      <w:r>
        <w:t>el</w:t>
      </w:r>
      <w:r w:rsidRPr="000D7AE9">
        <w:t xml:space="preserve"> Dietista </w:t>
      </w:r>
      <w:r>
        <w:t>nei CAD ed è stata organizzata la f</w:t>
      </w:r>
      <w:r w:rsidRPr="000D7AE9">
        <w:t xml:space="preserve">ormazione dedicata alla patologia diabetica </w:t>
      </w:r>
      <w:r>
        <w:t xml:space="preserve">per </w:t>
      </w:r>
      <w:r w:rsidRPr="000D7AE9">
        <w:t>i</w:t>
      </w:r>
      <w:r>
        <w:t xml:space="preserve">nfermieri e </w:t>
      </w:r>
      <w:r w:rsidRPr="000D7AE9">
        <w:t>medici</w:t>
      </w:r>
      <w:r>
        <w:t>.</w:t>
      </w:r>
    </w:p>
    <w:p w:rsidR="0080680C" w:rsidRPr="00BC5206" w:rsidRDefault="0080680C" w:rsidP="00F9079B">
      <w:pPr>
        <w:jc w:val="both"/>
      </w:pPr>
    </w:p>
    <w:p w:rsidR="0080680C" w:rsidRPr="0080680C" w:rsidRDefault="0080680C" w:rsidP="0080680C">
      <w:pPr>
        <w:pStyle w:val="Titolo3Verdana"/>
        <w:rPr>
          <w:rFonts w:asciiTheme="minorHAnsi" w:eastAsia="Calibri" w:hAnsiTheme="minorHAnsi"/>
        </w:rPr>
      </w:pPr>
      <w:bookmarkStart w:id="25" w:name="_Toc518040062"/>
      <w:r>
        <w:rPr>
          <w:rFonts w:asciiTheme="minorHAnsi" w:eastAsia="Calibri" w:hAnsiTheme="minorHAnsi"/>
          <w:lang w:val="it-IT"/>
        </w:rPr>
        <w:t xml:space="preserve">2.7 </w:t>
      </w:r>
      <w:r w:rsidRPr="0080680C">
        <w:rPr>
          <w:rFonts w:asciiTheme="minorHAnsi" w:eastAsia="Calibri" w:hAnsiTheme="minorHAnsi"/>
        </w:rPr>
        <w:t>Le segnalazioni dei cittadini</w:t>
      </w:r>
      <w:bookmarkEnd w:id="25"/>
    </w:p>
    <w:p w:rsidR="0080680C" w:rsidRDefault="0080680C" w:rsidP="0080680C">
      <w:pPr>
        <w:jc w:val="both"/>
      </w:pPr>
      <w:r>
        <w:t>Nel corso del 2017 sono state presentate 2.732 segnalazioni, di cui il 23,5% reclami</w:t>
      </w:r>
      <w:r>
        <w:rPr>
          <w:rStyle w:val="Rimandonotaapidipagina"/>
        </w:rPr>
        <w:footnoteReference w:id="1"/>
      </w:r>
      <w:r>
        <w:t>, il 52,7% rilievi</w:t>
      </w:r>
      <w:r>
        <w:rPr>
          <w:rStyle w:val="Rimandonotaapidipagina"/>
        </w:rPr>
        <w:footnoteReference w:id="2"/>
      </w:r>
      <w:r>
        <w:t xml:space="preserve">, il 22% elogi e 1,8% suggerimenti. L’andamento delle segnalazioni nel 2017 mostra un generale aumento, concentrato soprattutto nei reclami e nei rilievi. Tale aumento è dovuto, in particolare, alla mancata/ritardata disdetta di prestazioni di specialistica ambulatoriale. Il 2017 è stato, infatti, l’anno in cui si è dato avvio alla procedura sanzionatoria come disposto dalla legge regionale 2/2016. Tale impatto è ben evidenziato nel grafico: nell’andamento del totale delle segnalazioni, dei reclami e dei rilievi è indicato sia il dato complessivo (linea continua) sia il dato senza le segnalazioni presentate a seguito di sanzione (linea tratteggiata). </w:t>
      </w:r>
    </w:p>
    <w:p w:rsidR="0080680C" w:rsidRDefault="0080680C" w:rsidP="0080680C">
      <w:pPr>
        <w:jc w:val="both"/>
      </w:pPr>
      <w:r>
        <w:t>Sono aumentati nell’anno, seppur in misura più contenuta, anche gli elogi e i suggerimenti (questi ultimi si mantengono naturalmente in quantità più limitata rispetto alle altre tipologie di segnalazione).</w:t>
      </w:r>
    </w:p>
    <w:p w:rsidR="0080680C" w:rsidRDefault="0080680C" w:rsidP="0080680C"/>
    <w:p w:rsidR="0080680C" w:rsidRDefault="0080680C" w:rsidP="0080680C">
      <w:r>
        <w:rPr>
          <w:noProof/>
          <w:lang w:eastAsia="it-IT" w:bidi="ar-SA"/>
        </w:rPr>
        <w:lastRenderedPageBreak/>
        <w:drawing>
          <wp:inline distT="0" distB="0" distL="0" distR="0" wp14:anchorId="59984D7C" wp14:editId="42E17EAA">
            <wp:extent cx="6120130" cy="4607560"/>
            <wp:effectExtent l="0" t="0" r="13970" b="2540"/>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680C" w:rsidRDefault="0080680C" w:rsidP="0080680C"/>
    <w:p w:rsidR="0080680C" w:rsidRDefault="0080680C" w:rsidP="0080680C">
      <w:pPr>
        <w:jc w:val="both"/>
      </w:pPr>
      <w:r>
        <w:t>Per quanto riguarda i tempi di risposta ai reclami, si può osservare che nel 2017 su 641 reclami, quelli che hanno ottenuto una risposta scritta entro 30 giorni sono il 72,9%, oltre 30 giorni il 25,4%; le pratiche in corso</w:t>
      </w:r>
      <w:r>
        <w:rPr>
          <w:rStyle w:val="Rimandonotaapidipagina"/>
        </w:rPr>
        <w:footnoteReference w:id="3"/>
      </w:r>
      <w:r>
        <w:t xml:space="preserve"> rappresentano l’1,7%. </w:t>
      </w:r>
      <w:r w:rsidRPr="00A364EE">
        <w:t>I tempi di risposta al cittadino dipendono soprattutto dal tempo impiegato dal singolo Servizio/Unità Operativa per condurre le indagini necessarie ad accertare i fatti segnalati e a fornire all’URP una relazione sul caso. La procedura aziendale in vigore stabilisce un massimo di 10 giorni quale termine entro cui fornire la relazione.</w:t>
      </w:r>
    </w:p>
    <w:p w:rsidR="0080680C" w:rsidRDefault="0080680C" w:rsidP="0080680C"/>
    <w:p w:rsidR="0080680C" w:rsidRDefault="0080680C" w:rsidP="0080680C"/>
    <w:p w:rsidR="0080680C" w:rsidRDefault="0080680C" w:rsidP="0080680C">
      <w:pPr>
        <w:jc w:val="center"/>
      </w:pPr>
      <w:r>
        <w:rPr>
          <w:noProof/>
          <w:lang w:eastAsia="it-IT" w:bidi="ar-SA"/>
        </w:rPr>
        <w:lastRenderedPageBreak/>
        <w:drawing>
          <wp:inline distT="0" distB="0" distL="0" distR="0" wp14:anchorId="5FC519D2" wp14:editId="277C73DE">
            <wp:extent cx="4572000" cy="2743200"/>
            <wp:effectExtent l="0" t="0" r="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0680C" w:rsidRDefault="0080680C" w:rsidP="0080680C">
      <w:pPr>
        <w:jc w:val="center"/>
      </w:pPr>
    </w:p>
    <w:p w:rsidR="0080680C" w:rsidRDefault="0080680C" w:rsidP="0080680C">
      <w:r>
        <w:t>Il tempo mediano</w:t>
      </w:r>
      <w:r>
        <w:rPr>
          <w:rStyle w:val="Rimandonotaapidipagina"/>
        </w:rPr>
        <w:footnoteReference w:id="4"/>
      </w:r>
      <w:r>
        <w:t xml:space="preserve"> per l’anno 2017 è di 9 giorni per le pratiche a cui si è data risposta entro 30 giorni e di 38 giorni per quelle in cui si è superano tale termine.</w:t>
      </w:r>
    </w:p>
    <w:p w:rsidR="00E27519" w:rsidRDefault="0003178C">
      <w:pPr>
        <w:suppressAutoHyphens w:val="0"/>
        <w:spacing w:before="0"/>
        <w:rPr>
          <w:rFonts w:ascii="Cambria" w:hAnsi="Cambria" w:cs="Cambria"/>
          <w:b/>
          <w:smallCaps/>
          <w:sz w:val="26"/>
        </w:rPr>
      </w:pPr>
      <w:r>
        <w:br w:type="page"/>
      </w:r>
    </w:p>
    <w:p w:rsidR="00E27519" w:rsidRPr="00D16F67" w:rsidRDefault="0003178C">
      <w:pPr>
        <w:pStyle w:val="Titolo2"/>
        <w:numPr>
          <w:ilvl w:val="1"/>
          <w:numId w:val="6"/>
        </w:numPr>
      </w:pPr>
      <w:bookmarkStart w:id="26" w:name="_Toc518040063"/>
      <w:r w:rsidRPr="00D16F67">
        <w:lastRenderedPageBreak/>
        <w:t>3 Percorsi Clinico Assistenziali</w:t>
      </w:r>
      <w:bookmarkEnd w:id="26"/>
    </w:p>
    <w:p w:rsidR="00D16F67" w:rsidRPr="00D16F67" w:rsidRDefault="00D16F67" w:rsidP="00D16F67">
      <w:pPr>
        <w:spacing w:before="80"/>
        <w:ind w:left="360"/>
        <w:jc w:val="both"/>
        <w:rPr>
          <w:sz w:val="20"/>
        </w:rPr>
      </w:pPr>
      <w:r w:rsidRPr="00D16F67">
        <w:rPr>
          <w:sz w:val="20"/>
        </w:rPr>
        <w:t xml:space="preserve">I Percorsi Clinico Assistenziali rappresentano una modalità attraverso cui garantire la continuità delle cure, l’omogeneità degli interventi, la qualità del processo di cura, l'equità orizzontale, la trasparenza dell'offerta di servizio, la personalizzazione dell'intervento nel rispetto delle migliori evidenze disponibili, la multiprofessionalità e multidisciplinarietà degli interventi. </w:t>
      </w:r>
    </w:p>
    <w:p w:rsidR="00D16F67" w:rsidRPr="00D16F67" w:rsidRDefault="00D16F67" w:rsidP="00D16F67">
      <w:pPr>
        <w:spacing w:before="80"/>
        <w:ind w:left="360"/>
        <w:jc w:val="both"/>
        <w:rPr>
          <w:sz w:val="20"/>
        </w:rPr>
      </w:pPr>
      <w:r w:rsidRPr="00D16F67">
        <w:rPr>
          <w:sz w:val="20"/>
        </w:rPr>
        <w:t xml:space="preserve">Dal 2015 alcuni percorsi sono monitorati attraverso un insieme di indicatori, aziendali, regionali e alcuni nazionali; tali percorsi sono sviluppati prevalentemente a livello interaziendale, proprio per garantire continuità della presa in carico, sia per pazienti cronici che acuti, anche a partire dalle piattaforme produttive individuate. Sono state migliorate le modalità di rilevazione dei dati di attività e di accesso e sono state estese a tutto il percorso, da implementare nei prossimi anni. </w:t>
      </w:r>
    </w:p>
    <w:p w:rsidR="00D16F67" w:rsidRPr="00D16F67" w:rsidRDefault="00D16F67" w:rsidP="00D16F67">
      <w:pPr>
        <w:spacing w:before="0"/>
        <w:ind w:left="360"/>
        <w:jc w:val="both"/>
        <w:rPr>
          <w:sz w:val="20"/>
        </w:rPr>
      </w:pPr>
      <w:r w:rsidRPr="00D16F67">
        <w:rPr>
          <w:sz w:val="20"/>
        </w:rPr>
        <w:t>Sono stati individuati nel cruscotto direzionale un insieme di primi indicatori specifici per percorso, distinti per fase di presa in carico e sintetizzati nella tabella che segue, che riporta i dati indicazione del grado di raggiungimento del livello di performance (graduato da verde: ottimo a rosso: critico).</w:t>
      </w:r>
    </w:p>
    <w:p w:rsidR="00D16F67" w:rsidRPr="00D16F67" w:rsidRDefault="00D16F67" w:rsidP="00D16F67">
      <w:pPr>
        <w:suppressAutoHyphens w:val="0"/>
        <w:spacing w:before="0"/>
        <w:ind w:left="360" w:right="284"/>
        <w:jc w:val="both"/>
        <w:rPr>
          <w:sz w:val="20"/>
        </w:rPr>
      </w:pPr>
      <w:r w:rsidRPr="00D16F67">
        <w:rPr>
          <w:sz w:val="20"/>
        </w:rPr>
        <w:t>Nelle tabelle che seguono sono sintetizzati i risultati degli indicatori, per il 2017, calcolati a livello di provincia modenese, includendo quindi i dati di tutti i produttori e non solo dell’Azienda USL (prevalentemente AOU Policlinico e NOS).</w:t>
      </w:r>
    </w:p>
    <w:tbl>
      <w:tblPr>
        <w:tblW w:w="5000" w:type="pct"/>
        <w:tblCellMar>
          <w:left w:w="70" w:type="dxa"/>
          <w:right w:w="70" w:type="dxa"/>
        </w:tblCellMar>
        <w:tblLook w:val="04A0" w:firstRow="1" w:lastRow="0" w:firstColumn="1" w:lastColumn="0" w:noHBand="0" w:noVBand="1"/>
      </w:tblPr>
      <w:tblGrid>
        <w:gridCol w:w="1580"/>
        <w:gridCol w:w="1160"/>
        <w:gridCol w:w="1160"/>
        <w:gridCol w:w="1337"/>
        <w:gridCol w:w="1160"/>
        <w:gridCol w:w="1472"/>
        <w:gridCol w:w="1160"/>
        <w:gridCol w:w="1162"/>
      </w:tblGrid>
      <w:tr w:rsidR="00D16F67" w:rsidRPr="008F3874" w:rsidTr="00827360">
        <w:trPr>
          <w:trHeight w:val="405"/>
        </w:trPr>
        <w:tc>
          <w:tcPr>
            <w:tcW w:w="775"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rPr>
                <w:rFonts w:ascii="Times New Roman" w:hAnsi="Times New Roman" w:cs="Times New Roman"/>
                <w:sz w:val="16"/>
                <w:szCs w:val="24"/>
                <w:lang w:eastAsia="it-IT" w:bidi="ar-SA"/>
              </w:rPr>
            </w:pP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rPr>
                <w:rFonts w:ascii="Times New Roman" w:hAnsi="Times New Roman" w:cs="Times New Roman"/>
                <w:sz w:val="16"/>
                <w:lang w:eastAsia="it-IT" w:bidi="ar-SA"/>
              </w:rPr>
            </w:pPr>
          </w:p>
        </w:tc>
        <w:tc>
          <w:tcPr>
            <w:tcW w:w="3655" w:type="pct"/>
            <w:gridSpan w:val="6"/>
            <w:tcBorders>
              <w:top w:val="double" w:sz="6" w:space="0" w:color="0070C0"/>
              <w:left w:val="single" w:sz="12" w:space="0" w:color="0070C0"/>
              <w:bottom w:val="double" w:sz="6" w:space="0" w:color="0070C0"/>
              <w:right w:val="single" w:sz="12" w:space="0" w:color="0070C0"/>
            </w:tcBorders>
            <w:shd w:val="clear" w:color="000000" w:fill="FFFFFF"/>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18"/>
                <w:lang w:eastAsia="it-IT" w:bidi="ar-SA"/>
              </w:rPr>
            </w:pPr>
            <w:r w:rsidRPr="008F3874">
              <w:rPr>
                <w:rFonts w:cs="Times New Roman"/>
                <w:b/>
                <w:bCs/>
                <w:color w:val="000000"/>
                <w:sz w:val="16"/>
                <w:szCs w:val="18"/>
                <w:lang w:eastAsia="it-IT" w:bidi="ar-SA"/>
              </w:rPr>
              <w:t>Fasi</w:t>
            </w:r>
          </w:p>
        </w:tc>
      </w:tr>
      <w:tr w:rsidR="00D16F67" w:rsidRPr="008F3874" w:rsidTr="00827360">
        <w:trPr>
          <w:trHeight w:val="443"/>
        </w:trPr>
        <w:tc>
          <w:tcPr>
            <w:tcW w:w="775" w:type="pct"/>
            <w:tcBorders>
              <w:top w:val="double" w:sz="6" w:space="0" w:color="0070C0"/>
              <w:left w:val="single" w:sz="12" w:space="0" w:color="0070C0"/>
              <w:bottom w:val="double" w:sz="6" w:space="0" w:color="0070C0"/>
              <w:right w:val="single" w:sz="12" w:space="0" w:color="0070C0"/>
            </w:tcBorders>
            <w:shd w:val="clear" w:color="000000" w:fill="FFFFFF"/>
            <w:vAlign w:val="center"/>
            <w:hideMark/>
          </w:tcPr>
          <w:p w:rsidR="00D16F67" w:rsidRPr="008F3874" w:rsidRDefault="00D16F67" w:rsidP="00827360">
            <w:pPr>
              <w:suppressAutoHyphens w:val="0"/>
              <w:spacing w:before="0" w:after="0" w:line="240" w:lineRule="auto"/>
              <w:rPr>
                <w:rFonts w:cs="Times New Roman"/>
                <w:b/>
                <w:bCs/>
                <w:color w:val="000000"/>
                <w:sz w:val="16"/>
                <w:szCs w:val="28"/>
                <w:lang w:eastAsia="it-IT" w:bidi="ar-SA"/>
              </w:rPr>
            </w:pPr>
            <w:r w:rsidRPr="008F3874">
              <w:rPr>
                <w:rFonts w:cs="Times New Roman"/>
                <w:b/>
                <w:bCs/>
                <w:color w:val="000000"/>
                <w:sz w:val="16"/>
                <w:szCs w:val="28"/>
                <w:lang w:eastAsia="it-IT" w:bidi="ar-SA"/>
              </w:rPr>
              <w:t>Percorso clinico assistenziale</w:t>
            </w:r>
          </w:p>
        </w:tc>
        <w:tc>
          <w:tcPr>
            <w:tcW w:w="569" w:type="pct"/>
            <w:tcBorders>
              <w:top w:val="double" w:sz="6" w:space="0" w:color="0070C0"/>
              <w:left w:val="nil"/>
              <w:bottom w:val="double" w:sz="6" w:space="0" w:color="0070C0"/>
              <w:right w:val="single" w:sz="12" w:space="0" w:color="0070C0"/>
            </w:tcBorders>
            <w:shd w:val="clear" w:color="000000" w:fill="FFFFFF"/>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28"/>
                <w:lang w:eastAsia="it-IT" w:bidi="ar-SA"/>
              </w:rPr>
            </w:pPr>
            <w:r w:rsidRPr="008F3874">
              <w:rPr>
                <w:rFonts w:cs="Times New Roman"/>
                <w:b/>
                <w:bCs/>
                <w:color w:val="000000"/>
                <w:sz w:val="16"/>
                <w:szCs w:val="28"/>
                <w:lang w:eastAsia="it-IT" w:bidi="ar-SA"/>
              </w:rPr>
              <w:t>Valutazione complessiva</w:t>
            </w:r>
          </w:p>
        </w:tc>
        <w:tc>
          <w:tcPr>
            <w:tcW w:w="569" w:type="pct"/>
            <w:tcBorders>
              <w:top w:val="nil"/>
              <w:left w:val="nil"/>
              <w:bottom w:val="double" w:sz="6" w:space="0" w:color="0070C0"/>
              <w:right w:val="single" w:sz="12" w:space="0" w:color="0070C0"/>
            </w:tcBorders>
            <w:shd w:val="clear" w:color="000000" w:fill="FFFFFF"/>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18"/>
                <w:lang w:eastAsia="it-IT" w:bidi="ar-SA"/>
              </w:rPr>
            </w:pPr>
            <w:r w:rsidRPr="008F3874">
              <w:rPr>
                <w:rFonts w:cs="Times New Roman"/>
                <w:b/>
                <w:bCs/>
                <w:color w:val="000000"/>
                <w:sz w:val="16"/>
                <w:szCs w:val="18"/>
                <w:lang w:eastAsia="it-IT" w:bidi="ar-SA"/>
              </w:rPr>
              <w:t>Diagnosi</w:t>
            </w:r>
          </w:p>
        </w:tc>
        <w:tc>
          <w:tcPr>
            <w:tcW w:w="656" w:type="pct"/>
            <w:tcBorders>
              <w:top w:val="nil"/>
              <w:left w:val="nil"/>
              <w:bottom w:val="double" w:sz="6" w:space="0" w:color="0070C0"/>
              <w:right w:val="single" w:sz="12" w:space="0" w:color="0070C0"/>
            </w:tcBorders>
            <w:shd w:val="clear" w:color="000000" w:fill="FFFFFF"/>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18"/>
                <w:lang w:eastAsia="it-IT" w:bidi="ar-SA"/>
              </w:rPr>
            </w:pPr>
            <w:r w:rsidRPr="008F3874">
              <w:rPr>
                <w:rFonts w:cs="Times New Roman"/>
                <w:b/>
                <w:bCs/>
                <w:color w:val="000000"/>
                <w:sz w:val="16"/>
                <w:szCs w:val="18"/>
                <w:lang w:eastAsia="it-IT" w:bidi="ar-SA"/>
              </w:rPr>
              <w:t>Pre-ospedalizzazione</w:t>
            </w:r>
          </w:p>
        </w:tc>
        <w:tc>
          <w:tcPr>
            <w:tcW w:w="569" w:type="pct"/>
            <w:tcBorders>
              <w:top w:val="nil"/>
              <w:left w:val="nil"/>
              <w:bottom w:val="double" w:sz="6" w:space="0" w:color="0070C0"/>
              <w:right w:val="single" w:sz="12" w:space="0" w:color="0070C0"/>
            </w:tcBorders>
            <w:shd w:val="clear" w:color="000000" w:fill="FFFFFF"/>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18"/>
                <w:lang w:eastAsia="it-IT" w:bidi="ar-SA"/>
              </w:rPr>
            </w:pPr>
            <w:r w:rsidRPr="008F3874">
              <w:rPr>
                <w:rFonts w:cs="Times New Roman"/>
                <w:b/>
                <w:bCs/>
                <w:color w:val="000000"/>
                <w:sz w:val="16"/>
                <w:szCs w:val="18"/>
                <w:lang w:eastAsia="it-IT" w:bidi="ar-SA"/>
              </w:rPr>
              <w:t>Acuta</w:t>
            </w:r>
          </w:p>
        </w:tc>
        <w:tc>
          <w:tcPr>
            <w:tcW w:w="722" w:type="pct"/>
            <w:tcBorders>
              <w:top w:val="nil"/>
              <w:left w:val="nil"/>
              <w:bottom w:val="double" w:sz="6" w:space="0" w:color="0070C0"/>
              <w:right w:val="single" w:sz="12" w:space="0" w:color="0070C0"/>
            </w:tcBorders>
            <w:shd w:val="clear" w:color="000000" w:fill="FFFFFF"/>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18"/>
                <w:lang w:eastAsia="it-IT" w:bidi="ar-SA"/>
              </w:rPr>
            </w:pPr>
            <w:r w:rsidRPr="008F3874">
              <w:rPr>
                <w:rFonts w:cs="Times New Roman"/>
                <w:b/>
                <w:bCs/>
                <w:color w:val="000000"/>
                <w:sz w:val="16"/>
                <w:szCs w:val="18"/>
                <w:lang w:eastAsia="it-IT" w:bidi="ar-SA"/>
              </w:rPr>
              <w:t>Post-Acuta/Riabilitativa</w:t>
            </w:r>
          </w:p>
        </w:tc>
        <w:tc>
          <w:tcPr>
            <w:tcW w:w="569" w:type="pct"/>
            <w:tcBorders>
              <w:top w:val="nil"/>
              <w:left w:val="nil"/>
              <w:bottom w:val="double" w:sz="6" w:space="0" w:color="0070C0"/>
              <w:right w:val="single" w:sz="12" w:space="0" w:color="0070C0"/>
            </w:tcBorders>
            <w:shd w:val="clear" w:color="000000" w:fill="FFFFFF"/>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18"/>
                <w:lang w:eastAsia="it-IT" w:bidi="ar-SA"/>
              </w:rPr>
            </w:pPr>
            <w:r w:rsidRPr="008F3874">
              <w:rPr>
                <w:rFonts w:cs="Times New Roman"/>
                <w:b/>
                <w:bCs/>
                <w:color w:val="000000"/>
                <w:sz w:val="16"/>
                <w:szCs w:val="18"/>
                <w:lang w:eastAsia="it-IT" w:bidi="ar-SA"/>
              </w:rPr>
              <w:t>Follow-up</w:t>
            </w:r>
          </w:p>
        </w:tc>
        <w:tc>
          <w:tcPr>
            <w:tcW w:w="569" w:type="pct"/>
            <w:tcBorders>
              <w:top w:val="nil"/>
              <w:left w:val="nil"/>
              <w:bottom w:val="double" w:sz="6" w:space="0" w:color="0070C0"/>
              <w:right w:val="single" w:sz="12" w:space="0" w:color="0070C0"/>
            </w:tcBorders>
            <w:shd w:val="clear" w:color="000000" w:fill="FFFFFF"/>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18"/>
                <w:lang w:eastAsia="it-IT" w:bidi="ar-SA"/>
              </w:rPr>
            </w:pPr>
            <w:r w:rsidRPr="008F3874">
              <w:rPr>
                <w:rFonts w:cs="Times New Roman"/>
                <w:b/>
                <w:bCs/>
                <w:color w:val="000000"/>
                <w:sz w:val="16"/>
                <w:szCs w:val="18"/>
                <w:lang w:eastAsia="it-IT" w:bidi="ar-SA"/>
              </w:rPr>
              <w:t>Esito</w:t>
            </w:r>
          </w:p>
        </w:tc>
      </w:tr>
      <w:tr w:rsidR="00D16F67" w:rsidRPr="008F3874" w:rsidTr="00827360">
        <w:trPr>
          <w:trHeight w:val="102"/>
        </w:trPr>
        <w:tc>
          <w:tcPr>
            <w:tcW w:w="775"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18"/>
                <w:lang w:eastAsia="it-IT" w:bidi="ar-SA"/>
              </w:rPr>
            </w:pP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rPr>
                <w:rFonts w:ascii="Times New Roman" w:hAnsi="Times New Roman" w:cs="Times New Roman"/>
                <w:sz w:val="16"/>
                <w:lang w:eastAsia="it-IT" w:bidi="ar-SA"/>
              </w:rPr>
            </w:pP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rPr>
                <w:rFonts w:ascii="Times New Roman" w:hAnsi="Times New Roman" w:cs="Times New Roman"/>
                <w:sz w:val="16"/>
                <w:lang w:eastAsia="it-IT" w:bidi="ar-SA"/>
              </w:rPr>
            </w:pPr>
          </w:p>
        </w:tc>
        <w:tc>
          <w:tcPr>
            <w:tcW w:w="656"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ascii="Times New Roman" w:hAnsi="Times New Roman" w:cs="Times New Roman"/>
                <w:sz w:val="16"/>
                <w:lang w:eastAsia="it-IT" w:bidi="ar-SA"/>
              </w:rPr>
            </w:pP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ascii="Times New Roman" w:hAnsi="Times New Roman" w:cs="Times New Roman"/>
                <w:sz w:val="16"/>
                <w:lang w:eastAsia="it-IT" w:bidi="ar-SA"/>
              </w:rPr>
            </w:pPr>
          </w:p>
        </w:tc>
        <w:tc>
          <w:tcPr>
            <w:tcW w:w="722"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ascii="Times New Roman" w:hAnsi="Times New Roman" w:cs="Times New Roman"/>
                <w:sz w:val="16"/>
                <w:lang w:eastAsia="it-IT" w:bidi="ar-SA"/>
              </w:rPr>
            </w:pP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ascii="Times New Roman" w:hAnsi="Times New Roman" w:cs="Times New Roman"/>
                <w:sz w:val="16"/>
                <w:lang w:eastAsia="it-IT" w:bidi="ar-SA"/>
              </w:rPr>
            </w:pP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ascii="Times New Roman" w:hAnsi="Times New Roman" w:cs="Times New Roman"/>
                <w:sz w:val="16"/>
                <w:lang w:eastAsia="it-IT" w:bidi="ar-SA"/>
              </w:rPr>
            </w:pPr>
          </w:p>
        </w:tc>
      </w:tr>
      <w:tr w:rsidR="00D16F67" w:rsidRPr="008F3874" w:rsidTr="00827360">
        <w:trPr>
          <w:trHeight w:val="473"/>
        </w:trPr>
        <w:tc>
          <w:tcPr>
            <w:tcW w:w="775" w:type="pct"/>
            <w:tcBorders>
              <w:top w:val="double" w:sz="6" w:space="0" w:color="0070C0"/>
              <w:left w:val="single" w:sz="12" w:space="0" w:color="0070C0"/>
              <w:bottom w:val="double" w:sz="6" w:space="0" w:color="0070C0"/>
              <w:right w:val="single" w:sz="12" w:space="0" w:color="0070C0"/>
            </w:tcBorders>
            <w:shd w:val="clear" w:color="000000" w:fill="FFFFFF"/>
            <w:noWrap/>
            <w:vAlign w:val="center"/>
            <w:hideMark/>
          </w:tcPr>
          <w:p w:rsidR="00D16F67" w:rsidRPr="008F3874" w:rsidRDefault="007F67CB" w:rsidP="00827360">
            <w:pPr>
              <w:suppressAutoHyphens w:val="0"/>
              <w:spacing w:before="0" w:after="0" w:line="240" w:lineRule="auto"/>
              <w:rPr>
                <w:rFonts w:cs="Times New Roman"/>
                <w:color w:val="0563C1"/>
                <w:sz w:val="16"/>
                <w:szCs w:val="22"/>
                <w:u w:val="single"/>
                <w:lang w:eastAsia="it-IT" w:bidi="ar-SA"/>
              </w:rPr>
            </w:pPr>
            <w:hyperlink r:id="rId33" w:anchor="RANGE!A1" w:history="1">
              <w:r w:rsidR="00D16F67" w:rsidRPr="008F3874">
                <w:rPr>
                  <w:rFonts w:cs="Times New Roman"/>
                  <w:color w:val="0563C1"/>
                  <w:sz w:val="16"/>
                  <w:szCs w:val="22"/>
                  <w:u w:val="single"/>
                  <w:lang w:eastAsia="it-IT" w:bidi="ar-SA"/>
                </w:rPr>
                <w:t>CA Mammella</w:t>
              </w:r>
            </w:hyperlink>
          </w:p>
        </w:tc>
        <w:tc>
          <w:tcPr>
            <w:tcW w:w="569"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28"/>
                <w:lang w:eastAsia="it-IT" w:bidi="ar-SA"/>
              </w:rPr>
            </w:pPr>
            <w:r w:rsidRPr="008F3874">
              <w:rPr>
                <w:rFonts w:cs="Times New Roman"/>
                <w:b/>
                <w:bCs/>
                <w:color w:val="000000"/>
                <w:sz w:val="16"/>
                <w:szCs w:val="28"/>
                <w:lang w:eastAsia="it-IT" w:bidi="ar-SA"/>
              </w:rPr>
              <w:t>86%</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95%</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(6 indicatori)</w:t>
            </w:r>
          </w:p>
        </w:tc>
        <w:tc>
          <w:tcPr>
            <w:tcW w:w="656"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96%</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(4 indicatori)</w:t>
            </w:r>
          </w:p>
        </w:tc>
        <w:tc>
          <w:tcPr>
            <w:tcW w:w="722"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c>
          <w:tcPr>
            <w:tcW w:w="569" w:type="pct"/>
            <w:tcBorders>
              <w:top w:val="double" w:sz="6" w:space="0" w:color="0070C0"/>
              <w:left w:val="nil"/>
              <w:bottom w:val="double" w:sz="6" w:space="0" w:color="0070C0"/>
              <w:right w:val="single" w:sz="12" w:space="0" w:color="0070C0"/>
            </w:tcBorders>
            <w:shd w:val="clear" w:color="000000" w:fill="FFC00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61%</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(5 indicatori)</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(2 indicatori)</w:t>
            </w:r>
          </w:p>
        </w:tc>
      </w:tr>
      <w:tr w:rsidR="00D16F67" w:rsidRPr="008F3874" w:rsidTr="00827360">
        <w:trPr>
          <w:trHeight w:val="102"/>
        </w:trPr>
        <w:tc>
          <w:tcPr>
            <w:tcW w:w="775"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rPr>
                <w:rFonts w:ascii="Times New Roman" w:hAnsi="Times New Roman" w:cs="Times New Roman"/>
                <w:sz w:val="16"/>
                <w:lang w:eastAsia="it-IT" w:bidi="ar-SA"/>
              </w:rPr>
            </w:pP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656"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p>
        </w:tc>
        <w:tc>
          <w:tcPr>
            <w:tcW w:w="722"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ascii="Times New Roman" w:hAnsi="Times New Roman" w:cs="Times New Roman"/>
                <w:sz w:val="16"/>
                <w:lang w:eastAsia="it-IT" w:bidi="ar-SA"/>
              </w:rPr>
            </w:pP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ascii="Times New Roman" w:hAnsi="Times New Roman" w:cs="Times New Roman"/>
                <w:sz w:val="16"/>
                <w:lang w:eastAsia="it-IT" w:bidi="ar-SA"/>
              </w:rPr>
            </w:pP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ascii="Times New Roman" w:hAnsi="Times New Roman" w:cs="Times New Roman"/>
                <w:sz w:val="16"/>
                <w:lang w:eastAsia="it-IT" w:bidi="ar-SA"/>
              </w:rPr>
            </w:pPr>
          </w:p>
        </w:tc>
      </w:tr>
      <w:tr w:rsidR="00D16F67" w:rsidRPr="008F3874" w:rsidTr="00827360">
        <w:trPr>
          <w:trHeight w:val="378"/>
        </w:trPr>
        <w:tc>
          <w:tcPr>
            <w:tcW w:w="775" w:type="pct"/>
            <w:tcBorders>
              <w:top w:val="double" w:sz="6" w:space="0" w:color="0070C0"/>
              <w:left w:val="single" w:sz="12" w:space="0" w:color="0070C0"/>
              <w:bottom w:val="double" w:sz="6" w:space="0" w:color="0070C0"/>
              <w:right w:val="single" w:sz="12" w:space="0" w:color="0070C0"/>
            </w:tcBorders>
            <w:shd w:val="clear" w:color="000000" w:fill="FFFFFF"/>
            <w:noWrap/>
            <w:vAlign w:val="center"/>
            <w:hideMark/>
          </w:tcPr>
          <w:p w:rsidR="00D16F67" w:rsidRPr="008F3874" w:rsidRDefault="007F67CB" w:rsidP="00827360">
            <w:pPr>
              <w:suppressAutoHyphens w:val="0"/>
              <w:spacing w:before="0" w:after="0" w:line="240" w:lineRule="auto"/>
              <w:rPr>
                <w:rFonts w:cs="Times New Roman"/>
                <w:color w:val="0563C1"/>
                <w:sz w:val="16"/>
                <w:szCs w:val="22"/>
                <w:u w:val="single"/>
                <w:lang w:eastAsia="it-IT" w:bidi="ar-SA"/>
              </w:rPr>
            </w:pPr>
            <w:hyperlink r:id="rId34" w:anchor="RANGE!A1" w:history="1">
              <w:r w:rsidR="00D16F67" w:rsidRPr="008F3874">
                <w:rPr>
                  <w:rFonts w:cs="Times New Roman"/>
                  <w:color w:val="0563C1"/>
                  <w:sz w:val="16"/>
                  <w:szCs w:val="22"/>
                  <w:u w:val="single"/>
                  <w:lang w:eastAsia="it-IT" w:bidi="ar-SA"/>
                </w:rPr>
                <w:t>CA Colon</w:t>
              </w:r>
            </w:hyperlink>
          </w:p>
        </w:tc>
        <w:tc>
          <w:tcPr>
            <w:tcW w:w="569"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28"/>
                <w:lang w:eastAsia="it-IT" w:bidi="ar-SA"/>
              </w:rPr>
            </w:pPr>
            <w:r w:rsidRPr="008F3874">
              <w:rPr>
                <w:rFonts w:cs="Times New Roman"/>
                <w:b/>
                <w:bCs/>
                <w:color w:val="000000"/>
                <w:sz w:val="16"/>
                <w:szCs w:val="28"/>
                <w:lang w:eastAsia="it-IT" w:bidi="ar-SA"/>
              </w:rPr>
              <w:t>85%</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94%</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(2 indicatori)</w:t>
            </w:r>
          </w:p>
        </w:tc>
        <w:tc>
          <w:tcPr>
            <w:tcW w:w="656"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90%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c>
          <w:tcPr>
            <w:tcW w:w="722" w:type="pct"/>
            <w:tcBorders>
              <w:top w:val="double" w:sz="6" w:space="0" w:color="0070C0"/>
              <w:left w:val="nil"/>
              <w:bottom w:val="double" w:sz="6" w:space="0" w:color="0070C0"/>
              <w:right w:val="single" w:sz="12" w:space="0" w:color="0070C0"/>
            </w:tcBorders>
            <w:shd w:val="clear" w:color="000000" w:fill="FF000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52%</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c>
          <w:tcPr>
            <w:tcW w:w="569" w:type="pct"/>
            <w:tcBorders>
              <w:top w:val="double" w:sz="6" w:space="0" w:color="0070C0"/>
              <w:left w:val="nil"/>
              <w:bottom w:val="double" w:sz="6" w:space="0" w:color="0070C0"/>
              <w:right w:val="single" w:sz="12" w:space="0" w:color="0070C0"/>
            </w:tcBorders>
            <w:shd w:val="clear" w:color="000000" w:fill="92D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81%</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(2 indicatori)</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(2 indicatori)</w:t>
            </w:r>
          </w:p>
        </w:tc>
      </w:tr>
      <w:tr w:rsidR="00D16F67" w:rsidRPr="008F3874" w:rsidTr="00827360">
        <w:trPr>
          <w:trHeight w:val="102"/>
        </w:trPr>
        <w:tc>
          <w:tcPr>
            <w:tcW w:w="775"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rPr>
                <w:rFonts w:cs="Times New Roman"/>
                <w:b/>
                <w:bCs/>
                <w:color w:val="000000"/>
                <w:sz w:val="16"/>
                <w:szCs w:val="28"/>
                <w:lang w:eastAsia="it-IT" w:bidi="ar-SA"/>
              </w:rPr>
            </w:pPr>
            <w:r w:rsidRPr="008F3874">
              <w:rPr>
                <w:rFonts w:cs="Times New Roman"/>
                <w:b/>
                <w:bCs/>
                <w:color w:val="000000"/>
                <w:sz w:val="16"/>
                <w:szCs w:val="28"/>
                <w:lang w:eastAsia="it-IT" w:bidi="ar-SA"/>
              </w:rPr>
              <w:t> </w:t>
            </w: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656"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722"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r>
      <w:tr w:rsidR="00D16F67" w:rsidRPr="008F3874" w:rsidTr="00827360">
        <w:trPr>
          <w:trHeight w:val="464"/>
        </w:trPr>
        <w:tc>
          <w:tcPr>
            <w:tcW w:w="775" w:type="pct"/>
            <w:tcBorders>
              <w:top w:val="double" w:sz="6" w:space="0" w:color="0070C0"/>
              <w:left w:val="single" w:sz="12" w:space="0" w:color="0070C0"/>
              <w:bottom w:val="double" w:sz="6" w:space="0" w:color="0070C0"/>
              <w:right w:val="single" w:sz="12" w:space="0" w:color="0070C0"/>
            </w:tcBorders>
            <w:shd w:val="clear" w:color="000000" w:fill="FFFFFF"/>
            <w:noWrap/>
            <w:vAlign w:val="center"/>
            <w:hideMark/>
          </w:tcPr>
          <w:p w:rsidR="00D16F67" w:rsidRPr="008F3874" w:rsidRDefault="007F67CB" w:rsidP="00827360">
            <w:pPr>
              <w:suppressAutoHyphens w:val="0"/>
              <w:spacing w:before="0" w:after="0" w:line="240" w:lineRule="auto"/>
              <w:rPr>
                <w:rFonts w:cs="Times New Roman"/>
                <w:color w:val="0563C1"/>
                <w:sz w:val="16"/>
                <w:szCs w:val="22"/>
                <w:u w:val="single"/>
                <w:lang w:eastAsia="it-IT" w:bidi="ar-SA"/>
              </w:rPr>
            </w:pPr>
            <w:hyperlink r:id="rId35" w:anchor="RANGE!A1" w:history="1">
              <w:r w:rsidR="00D16F67" w:rsidRPr="008F3874">
                <w:rPr>
                  <w:rFonts w:cs="Times New Roman"/>
                  <w:color w:val="0563C1"/>
                  <w:sz w:val="16"/>
                  <w:szCs w:val="22"/>
                  <w:u w:val="single"/>
                  <w:lang w:eastAsia="it-IT" w:bidi="ar-SA"/>
                </w:rPr>
                <w:t>Percorso nascita</w:t>
              </w:r>
            </w:hyperlink>
          </w:p>
        </w:tc>
        <w:tc>
          <w:tcPr>
            <w:tcW w:w="569"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28"/>
                <w:lang w:eastAsia="it-IT" w:bidi="ar-SA"/>
              </w:rPr>
            </w:pPr>
            <w:r w:rsidRPr="008F3874">
              <w:rPr>
                <w:rFonts w:cs="Times New Roman"/>
                <w:b/>
                <w:bCs/>
                <w:color w:val="000000"/>
                <w:sz w:val="16"/>
                <w:szCs w:val="28"/>
                <w:lang w:eastAsia="it-IT" w:bidi="ar-SA"/>
              </w:rPr>
              <w:t>91%</w:t>
            </w:r>
          </w:p>
        </w:tc>
        <w:tc>
          <w:tcPr>
            <w:tcW w:w="569" w:type="pct"/>
            <w:tcBorders>
              <w:top w:val="double" w:sz="6" w:space="0" w:color="0070C0"/>
              <w:left w:val="nil"/>
              <w:bottom w:val="double" w:sz="6" w:space="0" w:color="0070C0"/>
              <w:right w:val="single" w:sz="12" w:space="0" w:color="0070C0"/>
            </w:tcBorders>
            <w:shd w:val="clear" w:color="000000" w:fill="D9D9D9"/>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656"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(6 indicatori)</w:t>
            </w:r>
          </w:p>
        </w:tc>
        <w:tc>
          <w:tcPr>
            <w:tcW w:w="569" w:type="pct"/>
            <w:tcBorders>
              <w:top w:val="double" w:sz="6" w:space="0" w:color="0070C0"/>
              <w:left w:val="nil"/>
              <w:bottom w:val="double" w:sz="6" w:space="0" w:color="0070C0"/>
              <w:right w:val="single" w:sz="12" w:space="0" w:color="0070C0"/>
            </w:tcBorders>
            <w:shd w:val="clear" w:color="000000" w:fill="92D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82%</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(5 indicatori)</w:t>
            </w:r>
          </w:p>
        </w:tc>
        <w:tc>
          <w:tcPr>
            <w:tcW w:w="722" w:type="pct"/>
            <w:tcBorders>
              <w:top w:val="double" w:sz="6" w:space="0" w:color="0070C0"/>
              <w:left w:val="nil"/>
              <w:bottom w:val="double" w:sz="6" w:space="0" w:color="0070C0"/>
              <w:right w:val="single" w:sz="12" w:space="0" w:color="0070C0"/>
            </w:tcBorders>
            <w:shd w:val="clear" w:color="000000" w:fill="D9D9D9"/>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double" w:sz="6" w:space="0" w:color="0070C0"/>
              <w:left w:val="nil"/>
              <w:bottom w:val="double" w:sz="6" w:space="0" w:color="0070C0"/>
              <w:right w:val="single" w:sz="12" w:space="0" w:color="0070C0"/>
            </w:tcBorders>
            <w:shd w:val="clear" w:color="000000" w:fill="92D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84%</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c>
          <w:tcPr>
            <w:tcW w:w="569" w:type="pct"/>
            <w:tcBorders>
              <w:top w:val="double" w:sz="6" w:space="0" w:color="0070C0"/>
              <w:left w:val="nil"/>
              <w:bottom w:val="double" w:sz="6" w:space="0" w:color="0070C0"/>
              <w:right w:val="single" w:sz="12" w:space="0" w:color="0070C0"/>
            </w:tcBorders>
            <w:shd w:val="clear" w:color="000000" w:fill="D9D9D9"/>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r>
      <w:tr w:rsidR="00D16F67" w:rsidRPr="008F3874" w:rsidTr="00827360">
        <w:trPr>
          <w:trHeight w:val="102"/>
        </w:trPr>
        <w:tc>
          <w:tcPr>
            <w:tcW w:w="775"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rPr>
                <w:rFonts w:cs="Times New Roman"/>
                <w:b/>
                <w:bCs/>
                <w:color w:val="000000"/>
                <w:sz w:val="16"/>
                <w:szCs w:val="28"/>
                <w:lang w:eastAsia="it-IT" w:bidi="ar-SA"/>
              </w:rPr>
            </w:pPr>
            <w:r w:rsidRPr="008F3874">
              <w:rPr>
                <w:rFonts w:cs="Times New Roman"/>
                <w:b/>
                <w:bCs/>
                <w:color w:val="000000"/>
                <w:sz w:val="16"/>
                <w:szCs w:val="28"/>
                <w:lang w:eastAsia="it-IT" w:bidi="ar-SA"/>
              </w:rPr>
              <w:t> </w:t>
            </w: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rPr>
                <w:rFonts w:cs="Times New Roman"/>
                <w:b/>
                <w:bCs/>
                <w:color w:val="000000"/>
                <w:sz w:val="16"/>
                <w:szCs w:val="28"/>
                <w:lang w:eastAsia="it-IT" w:bidi="ar-SA"/>
              </w:rPr>
            </w:pPr>
          </w:p>
        </w:tc>
        <w:tc>
          <w:tcPr>
            <w:tcW w:w="656"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ascii="Times New Roman" w:hAnsi="Times New Roman" w:cs="Times New Roman"/>
                <w:sz w:val="16"/>
                <w:lang w:eastAsia="it-IT" w:bidi="ar-SA"/>
              </w:rPr>
            </w:pP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722"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r>
      <w:tr w:rsidR="00D16F67" w:rsidRPr="008F3874" w:rsidTr="00827360">
        <w:trPr>
          <w:trHeight w:val="385"/>
        </w:trPr>
        <w:tc>
          <w:tcPr>
            <w:tcW w:w="775" w:type="pct"/>
            <w:tcBorders>
              <w:top w:val="double" w:sz="6" w:space="0" w:color="0070C0"/>
              <w:left w:val="single" w:sz="12" w:space="0" w:color="0070C0"/>
              <w:bottom w:val="double" w:sz="6" w:space="0" w:color="0070C0"/>
              <w:right w:val="single" w:sz="12" w:space="0" w:color="0070C0"/>
            </w:tcBorders>
            <w:shd w:val="clear" w:color="000000" w:fill="FFFFFF"/>
            <w:noWrap/>
            <w:vAlign w:val="center"/>
            <w:hideMark/>
          </w:tcPr>
          <w:p w:rsidR="00D16F67" w:rsidRPr="008F3874" w:rsidRDefault="007F67CB" w:rsidP="00827360">
            <w:pPr>
              <w:suppressAutoHyphens w:val="0"/>
              <w:spacing w:before="0" w:after="0" w:line="240" w:lineRule="auto"/>
              <w:rPr>
                <w:rFonts w:cs="Times New Roman"/>
                <w:color w:val="0563C1"/>
                <w:sz w:val="16"/>
                <w:szCs w:val="22"/>
                <w:u w:val="single"/>
                <w:lang w:eastAsia="it-IT" w:bidi="ar-SA"/>
              </w:rPr>
            </w:pPr>
            <w:hyperlink r:id="rId36" w:anchor="RANGE!A1" w:history="1">
              <w:r w:rsidR="00D16F67" w:rsidRPr="008F3874">
                <w:rPr>
                  <w:rFonts w:cs="Times New Roman"/>
                  <w:color w:val="0563C1"/>
                  <w:sz w:val="16"/>
                  <w:szCs w:val="22"/>
                  <w:u w:val="single"/>
                  <w:lang w:eastAsia="it-IT" w:bidi="ar-SA"/>
                </w:rPr>
                <w:t>Ictus</w:t>
              </w:r>
            </w:hyperlink>
          </w:p>
        </w:tc>
        <w:tc>
          <w:tcPr>
            <w:tcW w:w="569"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28"/>
                <w:lang w:eastAsia="it-IT" w:bidi="ar-SA"/>
              </w:rPr>
            </w:pPr>
            <w:r w:rsidRPr="008F3874">
              <w:rPr>
                <w:rFonts w:cs="Times New Roman"/>
                <w:b/>
                <w:bCs/>
                <w:color w:val="000000"/>
                <w:sz w:val="16"/>
                <w:szCs w:val="28"/>
                <w:lang w:eastAsia="it-IT" w:bidi="ar-SA"/>
              </w:rPr>
              <w:t>94%</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91%</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(2 indicatori)</w:t>
            </w:r>
          </w:p>
        </w:tc>
        <w:tc>
          <w:tcPr>
            <w:tcW w:w="656" w:type="pct"/>
            <w:tcBorders>
              <w:top w:val="double" w:sz="6" w:space="0" w:color="0070C0"/>
              <w:left w:val="nil"/>
              <w:bottom w:val="double" w:sz="6" w:space="0" w:color="0070C0"/>
              <w:right w:val="single" w:sz="12" w:space="0" w:color="0070C0"/>
            </w:tcBorders>
            <w:shd w:val="clear" w:color="000000" w:fill="D9D9D9"/>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(2 indicatore)</w:t>
            </w:r>
          </w:p>
        </w:tc>
        <w:tc>
          <w:tcPr>
            <w:tcW w:w="722" w:type="pct"/>
            <w:tcBorders>
              <w:top w:val="double" w:sz="6" w:space="0" w:color="0070C0"/>
              <w:left w:val="nil"/>
              <w:bottom w:val="double" w:sz="6" w:space="0" w:color="0070C0"/>
              <w:right w:val="single" w:sz="12" w:space="0" w:color="0070C0"/>
            </w:tcBorders>
            <w:shd w:val="clear" w:color="000000" w:fill="FFFF0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79%</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indicatori)</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r>
      <w:tr w:rsidR="00D16F67" w:rsidRPr="008F3874" w:rsidTr="00827360">
        <w:trPr>
          <w:trHeight w:val="102"/>
        </w:trPr>
        <w:tc>
          <w:tcPr>
            <w:tcW w:w="775"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rPr>
                <w:rFonts w:cs="Times New Roman"/>
                <w:b/>
                <w:bCs/>
                <w:color w:val="000000"/>
                <w:sz w:val="16"/>
                <w:szCs w:val="28"/>
                <w:lang w:eastAsia="it-IT" w:bidi="ar-SA"/>
              </w:rPr>
            </w:pPr>
            <w:r w:rsidRPr="008F3874">
              <w:rPr>
                <w:rFonts w:cs="Times New Roman"/>
                <w:b/>
                <w:bCs/>
                <w:color w:val="000000"/>
                <w:sz w:val="16"/>
                <w:szCs w:val="28"/>
                <w:lang w:eastAsia="it-IT" w:bidi="ar-SA"/>
              </w:rPr>
              <w:t> </w:t>
            </w: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656"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722"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p>
        </w:tc>
      </w:tr>
      <w:tr w:rsidR="00D16F67" w:rsidRPr="008F3874" w:rsidTr="00827360">
        <w:trPr>
          <w:trHeight w:val="471"/>
        </w:trPr>
        <w:tc>
          <w:tcPr>
            <w:tcW w:w="775" w:type="pct"/>
            <w:tcBorders>
              <w:top w:val="double" w:sz="6" w:space="0" w:color="0070C0"/>
              <w:left w:val="single" w:sz="12" w:space="0" w:color="0070C0"/>
              <w:bottom w:val="double" w:sz="6" w:space="0" w:color="0070C0"/>
              <w:right w:val="single" w:sz="12" w:space="0" w:color="0070C0"/>
            </w:tcBorders>
            <w:shd w:val="clear" w:color="000000" w:fill="FFFFFF"/>
            <w:vAlign w:val="center"/>
            <w:hideMark/>
          </w:tcPr>
          <w:p w:rsidR="00D16F67" w:rsidRPr="008F3874" w:rsidRDefault="007F67CB" w:rsidP="00827360">
            <w:pPr>
              <w:suppressAutoHyphens w:val="0"/>
              <w:spacing w:before="0" w:after="0" w:line="240" w:lineRule="auto"/>
              <w:rPr>
                <w:rFonts w:cs="Times New Roman"/>
                <w:color w:val="0563C1"/>
                <w:sz w:val="16"/>
                <w:szCs w:val="22"/>
                <w:u w:val="single"/>
                <w:lang w:eastAsia="it-IT" w:bidi="ar-SA"/>
              </w:rPr>
            </w:pPr>
            <w:hyperlink r:id="rId37" w:anchor="RANGE!A1" w:history="1">
              <w:r w:rsidR="00D16F67" w:rsidRPr="008F3874">
                <w:rPr>
                  <w:rFonts w:cs="Times New Roman"/>
                  <w:color w:val="0563C1"/>
                  <w:sz w:val="16"/>
                  <w:szCs w:val="22"/>
                  <w:u w:val="single"/>
                  <w:lang w:eastAsia="it-IT" w:bidi="ar-SA"/>
                </w:rPr>
                <w:t>Frattura del collo del femore nell'anziano</w:t>
              </w:r>
            </w:hyperlink>
          </w:p>
        </w:tc>
        <w:tc>
          <w:tcPr>
            <w:tcW w:w="569"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28"/>
                <w:lang w:eastAsia="it-IT" w:bidi="ar-SA"/>
              </w:rPr>
            </w:pPr>
            <w:r w:rsidRPr="008F3874">
              <w:rPr>
                <w:rFonts w:cs="Times New Roman"/>
                <w:b/>
                <w:bCs/>
                <w:color w:val="000000"/>
                <w:sz w:val="16"/>
                <w:szCs w:val="28"/>
                <w:lang w:eastAsia="it-IT" w:bidi="ar-SA"/>
              </w:rPr>
              <w:t>89%</w:t>
            </w:r>
          </w:p>
        </w:tc>
        <w:tc>
          <w:tcPr>
            <w:tcW w:w="569" w:type="pct"/>
            <w:tcBorders>
              <w:top w:val="double" w:sz="6" w:space="0" w:color="0070C0"/>
              <w:left w:val="nil"/>
              <w:bottom w:val="double" w:sz="6" w:space="0" w:color="0070C0"/>
              <w:right w:val="single" w:sz="12" w:space="0" w:color="0070C0"/>
            </w:tcBorders>
            <w:shd w:val="clear" w:color="000000" w:fill="92D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80%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(2 indicatori)</w:t>
            </w:r>
          </w:p>
        </w:tc>
        <w:tc>
          <w:tcPr>
            <w:tcW w:w="656" w:type="pct"/>
            <w:tcBorders>
              <w:top w:val="double" w:sz="6" w:space="0" w:color="0070C0"/>
              <w:left w:val="nil"/>
              <w:bottom w:val="double" w:sz="6" w:space="0" w:color="0070C0"/>
              <w:right w:val="single" w:sz="12" w:space="0" w:color="0070C0"/>
            </w:tcBorders>
            <w:shd w:val="clear" w:color="000000" w:fill="D9D9D9"/>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99%</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(3 indicatore)</w:t>
            </w:r>
          </w:p>
        </w:tc>
        <w:tc>
          <w:tcPr>
            <w:tcW w:w="722"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94%</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c>
          <w:tcPr>
            <w:tcW w:w="569" w:type="pct"/>
            <w:tcBorders>
              <w:top w:val="double" w:sz="6" w:space="0" w:color="0070C0"/>
              <w:left w:val="nil"/>
              <w:bottom w:val="double" w:sz="6" w:space="0" w:color="0070C0"/>
              <w:right w:val="single" w:sz="12" w:space="0" w:color="0070C0"/>
            </w:tcBorders>
            <w:shd w:val="clear" w:color="000000" w:fill="FFFF0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74%</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(2 indicatori)</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r>
      <w:tr w:rsidR="00D16F67" w:rsidRPr="008F3874" w:rsidTr="00827360">
        <w:trPr>
          <w:trHeight w:val="102"/>
        </w:trPr>
        <w:tc>
          <w:tcPr>
            <w:tcW w:w="775"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p>
        </w:tc>
        <w:tc>
          <w:tcPr>
            <w:tcW w:w="569"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rPr>
                <w:rFonts w:ascii="Times New Roman" w:hAnsi="Times New Roman" w:cs="Times New Roman"/>
                <w:sz w:val="16"/>
                <w:lang w:eastAsia="it-IT" w:bidi="ar-SA"/>
              </w:rPr>
            </w:pP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656" w:type="pct"/>
            <w:tcBorders>
              <w:top w:val="nil"/>
              <w:left w:val="nil"/>
              <w:bottom w:val="nil"/>
              <w:right w:val="nil"/>
            </w:tcBorders>
            <w:shd w:val="clear" w:color="auto" w:fill="auto"/>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722"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nil"/>
              <w:left w:val="nil"/>
              <w:bottom w:val="nil"/>
              <w:right w:val="nil"/>
            </w:tcBorders>
            <w:shd w:val="clear" w:color="000000" w:fill="FFFFFF"/>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r>
      <w:tr w:rsidR="00D16F67" w:rsidRPr="008F3874" w:rsidTr="00827360">
        <w:trPr>
          <w:trHeight w:val="30"/>
        </w:trPr>
        <w:tc>
          <w:tcPr>
            <w:tcW w:w="775" w:type="pct"/>
            <w:tcBorders>
              <w:top w:val="double" w:sz="6" w:space="0" w:color="0070C0"/>
              <w:left w:val="single" w:sz="12" w:space="0" w:color="0070C0"/>
              <w:bottom w:val="double" w:sz="6" w:space="0" w:color="0070C0"/>
              <w:right w:val="single" w:sz="12" w:space="0" w:color="0070C0"/>
            </w:tcBorders>
            <w:shd w:val="clear" w:color="000000" w:fill="FFFFFF"/>
            <w:noWrap/>
            <w:vAlign w:val="center"/>
            <w:hideMark/>
          </w:tcPr>
          <w:p w:rsidR="00D16F67" w:rsidRPr="008F3874" w:rsidRDefault="007F67CB" w:rsidP="00827360">
            <w:pPr>
              <w:suppressAutoHyphens w:val="0"/>
              <w:spacing w:before="0" w:after="0" w:line="240" w:lineRule="auto"/>
              <w:rPr>
                <w:rFonts w:cs="Times New Roman"/>
                <w:color w:val="0563C1"/>
                <w:sz w:val="16"/>
                <w:szCs w:val="22"/>
                <w:u w:val="single"/>
                <w:lang w:eastAsia="it-IT" w:bidi="ar-SA"/>
              </w:rPr>
            </w:pPr>
            <w:hyperlink r:id="rId38" w:anchor="RANGE!A1" w:history="1">
              <w:r w:rsidR="00D16F67" w:rsidRPr="008F3874">
                <w:rPr>
                  <w:rFonts w:cs="Times New Roman"/>
                  <w:color w:val="0563C1"/>
                  <w:sz w:val="16"/>
                  <w:szCs w:val="22"/>
                  <w:u w:val="single"/>
                  <w:lang w:eastAsia="it-IT" w:bidi="ar-SA"/>
                </w:rPr>
                <w:t>Scompenso Cardiaco</w:t>
              </w:r>
            </w:hyperlink>
          </w:p>
        </w:tc>
        <w:tc>
          <w:tcPr>
            <w:tcW w:w="569"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8F3874" w:rsidRDefault="00D16F67" w:rsidP="00827360">
            <w:pPr>
              <w:suppressAutoHyphens w:val="0"/>
              <w:spacing w:before="0" w:after="0" w:line="240" w:lineRule="auto"/>
              <w:jc w:val="center"/>
              <w:rPr>
                <w:rFonts w:cs="Times New Roman"/>
                <w:b/>
                <w:bCs/>
                <w:color w:val="000000"/>
                <w:sz w:val="16"/>
                <w:szCs w:val="28"/>
                <w:lang w:eastAsia="it-IT" w:bidi="ar-SA"/>
              </w:rPr>
            </w:pPr>
            <w:r w:rsidRPr="008F3874">
              <w:rPr>
                <w:rFonts w:cs="Times New Roman"/>
                <w:b/>
                <w:bCs/>
                <w:color w:val="000000"/>
                <w:sz w:val="16"/>
                <w:szCs w:val="28"/>
                <w:lang w:eastAsia="it-IT" w:bidi="ar-SA"/>
              </w:rPr>
              <w:t>93%</w:t>
            </w:r>
          </w:p>
        </w:tc>
        <w:tc>
          <w:tcPr>
            <w:tcW w:w="569" w:type="pct"/>
            <w:tcBorders>
              <w:top w:val="double" w:sz="6" w:space="0" w:color="0070C0"/>
              <w:left w:val="nil"/>
              <w:bottom w:val="double" w:sz="6" w:space="0" w:color="0070C0"/>
              <w:right w:val="single" w:sz="12" w:space="0" w:color="0070C0"/>
            </w:tcBorders>
            <w:shd w:val="clear" w:color="000000" w:fill="D9D9D9"/>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656" w:type="pct"/>
            <w:tcBorders>
              <w:top w:val="double" w:sz="6" w:space="0" w:color="0070C0"/>
              <w:left w:val="nil"/>
              <w:bottom w:val="double" w:sz="6" w:space="0" w:color="0070C0"/>
              <w:right w:val="single" w:sz="12" w:space="0" w:color="0070C0"/>
            </w:tcBorders>
            <w:shd w:val="clear" w:color="000000" w:fill="D9D9D9"/>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100%</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(1 indicatore)</w:t>
            </w:r>
          </w:p>
        </w:tc>
        <w:tc>
          <w:tcPr>
            <w:tcW w:w="722" w:type="pct"/>
            <w:tcBorders>
              <w:top w:val="double" w:sz="6" w:space="0" w:color="0070C0"/>
              <w:left w:val="nil"/>
              <w:bottom w:val="double" w:sz="6" w:space="0" w:color="0070C0"/>
              <w:right w:val="single" w:sz="12" w:space="0" w:color="0070C0"/>
            </w:tcBorders>
            <w:shd w:val="clear" w:color="000000" w:fill="D9D9D9"/>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c>
          <w:tcPr>
            <w:tcW w:w="569" w:type="pct"/>
            <w:tcBorders>
              <w:top w:val="double" w:sz="6" w:space="0" w:color="0070C0"/>
              <w:left w:val="nil"/>
              <w:bottom w:val="double" w:sz="6" w:space="0" w:color="0070C0"/>
              <w:right w:val="single" w:sz="12" w:space="0" w:color="0070C0"/>
            </w:tcBorders>
            <w:shd w:val="clear" w:color="000000" w:fill="00B050"/>
            <w:vAlign w:val="center"/>
            <w:hideMark/>
          </w:tcPr>
          <w:p w:rsidR="00D16F67"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91%</w:t>
            </w:r>
          </w:p>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(3 indicatori)</w:t>
            </w:r>
          </w:p>
        </w:tc>
        <w:tc>
          <w:tcPr>
            <w:tcW w:w="569" w:type="pct"/>
            <w:tcBorders>
              <w:top w:val="double" w:sz="6" w:space="0" w:color="0070C0"/>
              <w:left w:val="nil"/>
              <w:bottom w:val="double" w:sz="6" w:space="0" w:color="0070C0"/>
              <w:right w:val="single" w:sz="12" w:space="0" w:color="0070C0"/>
            </w:tcBorders>
            <w:shd w:val="clear" w:color="000000" w:fill="D9D9D9"/>
            <w:noWrap/>
            <w:vAlign w:val="center"/>
            <w:hideMark/>
          </w:tcPr>
          <w:p w:rsidR="00D16F67" w:rsidRPr="008F3874" w:rsidRDefault="00D16F67" w:rsidP="00827360">
            <w:pPr>
              <w:suppressAutoHyphens w:val="0"/>
              <w:spacing w:before="0" w:after="0" w:line="240" w:lineRule="auto"/>
              <w:jc w:val="center"/>
              <w:rPr>
                <w:rFonts w:cs="Times New Roman"/>
                <w:color w:val="000000"/>
                <w:sz w:val="16"/>
                <w:lang w:eastAsia="it-IT" w:bidi="ar-SA"/>
              </w:rPr>
            </w:pPr>
            <w:r w:rsidRPr="008F3874">
              <w:rPr>
                <w:rFonts w:cs="Times New Roman"/>
                <w:color w:val="000000"/>
                <w:sz w:val="16"/>
                <w:lang w:eastAsia="it-IT" w:bidi="ar-SA"/>
              </w:rPr>
              <w:t> </w:t>
            </w:r>
          </w:p>
        </w:tc>
      </w:tr>
    </w:tbl>
    <w:p w:rsidR="00D16F67" w:rsidRPr="00D16F67" w:rsidRDefault="00D16F67" w:rsidP="00D16F67">
      <w:pPr>
        <w:suppressAutoHyphens w:val="0"/>
        <w:spacing w:before="0"/>
        <w:ind w:left="360" w:right="284"/>
        <w:rPr>
          <w:sz w:val="18"/>
        </w:rPr>
      </w:pPr>
      <w:r w:rsidRPr="00D16F67">
        <w:rPr>
          <w:sz w:val="18"/>
        </w:rPr>
        <w:t>I ReM (Registro di Mortalità) sono aggiornati al 1 sem 2017</w:t>
      </w:r>
    </w:p>
    <w:p w:rsidR="00D16F67" w:rsidRPr="00D16F67" w:rsidRDefault="00D16F67" w:rsidP="00D16F67">
      <w:pPr>
        <w:suppressAutoHyphens w:val="0"/>
        <w:spacing w:before="0"/>
        <w:ind w:left="360" w:right="284"/>
        <w:rPr>
          <w:sz w:val="18"/>
        </w:rPr>
      </w:pPr>
    </w:p>
    <w:p w:rsidR="00D16F67" w:rsidRDefault="00D16F67" w:rsidP="00D16F67">
      <w:pPr>
        <w:pStyle w:val="Paragrafoelenco1"/>
        <w:spacing w:before="0"/>
        <w:ind w:left="360"/>
        <w:jc w:val="both"/>
        <w:rPr>
          <w:sz w:val="20"/>
        </w:rPr>
      </w:pPr>
      <w:r w:rsidRPr="008F3874">
        <w:rPr>
          <w:sz w:val="20"/>
        </w:rPr>
        <w:t>La valutazione interna di questi percorsi mostra un posizionamento complessivo so</w:t>
      </w:r>
      <w:r>
        <w:rPr>
          <w:sz w:val="20"/>
        </w:rPr>
        <w:t xml:space="preserve">ddisfacente, con percentuali di </w:t>
      </w:r>
      <w:r w:rsidRPr="008F3874">
        <w:rPr>
          <w:sz w:val="20"/>
        </w:rPr>
        <w:t xml:space="preserve">raggiungimento obiettivi, per gli indicatori utilizzati, prossima al 90%. </w:t>
      </w:r>
    </w:p>
    <w:p w:rsidR="00D16F67" w:rsidRDefault="00D16F67" w:rsidP="00D16F67">
      <w:pPr>
        <w:pStyle w:val="Paragrafoelenco1"/>
        <w:spacing w:before="0"/>
        <w:ind w:left="360"/>
        <w:jc w:val="both"/>
        <w:rPr>
          <w:sz w:val="20"/>
        </w:rPr>
      </w:pPr>
    </w:p>
    <w:p w:rsidR="00D16F67" w:rsidRDefault="00D16F67" w:rsidP="00D16F67">
      <w:pPr>
        <w:pStyle w:val="Paragrafoelenco1"/>
        <w:spacing w:before="0"/>
        <w:ind w:left="360"/>
        <w:jc w:val="both"/>
        <w:rPr>
          <w:sz w:val="20"/>
        </w:rPr>
      </w:pPr>
      <w:r>
        <w:rPr>
          <w:sz w:val="20"/>
        </w:rPr>
        <w:t xml:space="preserve">Analizzando il trend della valutazione complessiva del 2017, è possibile osservare un netto miglioramento rispetto al 2016 dei percorsi Ca Mammella, Nascita, Ictus e Frattura del collo del femore nell’anziano. </w:t>
      </w:r>
    </w:p>
    <w:p w:rsidR="00D16F67" w:rsidRDefault="00D16F67" w:rsidP="00D16F67">
      <w:pPr>
        <w:pStyle w:val="Paragrafoelenco1"/>
        <w:spacing w:before="0"/>
        <w:ind w:left="360"/>
        <w:jc w:val="both"/>
        <w:rPr>
          <w:sz w:val="20"/>
        </w:rPr>
      </w:pPr>
    </w:p>
    <w:tbl>
      <w:tblPr>
        <w:tblW w:w="5000" w:type="pct"/>
        <w:tblCellMar>
          <w:left w:w="70" w:type="dxa"/>
          <w:right w:w="70" w:type="dxa"/>
        </w:tblCellMar>
        <w:tblLook w:val="04A0" w:firstRow="1" w:lastRow="0" w:firstColumn="1" w:lastColumn="0" w:noHBand="0" w:noVBand="1"/>
      </w:tblPr>
      <w:tblGrid>
        <w:gridCol w:w="2440"/>
        <w:gridCol w:w="1934"/>
        <w:gridCol w:w="1934"/>
        <w:gridCol w:w="1934"/>
        <w:gridCol w:w="1934"/>
      </w:tblGrid>
      <w:tr w:rsidR="00D16F67" w:rsidRPr="00E30E77" w:rsidTr="00827360">
        <w:trPr>
          <w:trHeight w:val="315"/>
        </w:trPr>
        <w:tc>
          <w:tcPr>
            <w:tcW w:w="1198" w:type="pct"/>
            <w:vMerge w:val="restart"/>
            <w:tcBorders>
              <w:top w:val="double" w:sz="6" w:space="0" w:color="0070C0"/>
              <w:left w:val="single" w:sz="12" w:space="0" w:color="0070C0"/>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rPr>
                <w:rFonts w:cs="Times New Roman"/>
                <w:b/>
                <w:bCs/>
                <w:color w:val="000000"/>
                <w:sz w:val="18"/>
                <w:szCs w:val="16"/>
                <w:lang w:eastAsia="it-IT" w:bidi="ar-SA"/>
              </w:rPr>
            </w:pPr>
            <w:r w:rsidRPr="00E30E77">
              <w:rPr>
                <w:rFonts w:cs="Times New Roman"/>
                <w:b/>
                <w:bCs/>
                <w:color w:val="000000"/>
                <w:sz w:val="18"/>
                <w:szCs w:val="16"/>
                <w:lang w:eastAsia="it-IT" w:bidi="ar-SA"/>
              </w:rPr>
              <w:lastRenderedPageBreak/>
              <w:t>Percorso clinico assistenziale</w:t>
            </w:r>
          </w:p>
        </w:tc>
        <w:tc>
          <w:tcPr>
            <w:tcW w:w="950" w:type="pct"/>
            <w:vMerge w:val="restart"/>
            <w:tcBorders>
              <w:top w:val="double" w:sz="6" w:space="0" w:color="0070C0"/>
              <w:left w:val="single" w:sz="12" w:space="0" w:color="0070C0"/>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Valutazione complessiva 2015</w:t>
            </w:r>
          </w:p>
        </w:tc>
        <w:tc>
          <w:tcPr>
            <w:tcW w:w="950" w:type="pct"/>
            <w:vMerge w:val="restart"/>
            <w:tcBorders>
              <w:top w:val="double" w:sz="6" w:space="0" w:color="0070C0"/>
              <w:left w:val="nil"/>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Valutazione complessiva 2016</w:t>
            </w:r>
          </w:p>
        </w:tc>
        <w:tc>
          <w:tcPr>
            <w:tcW w:w="950" w:type="pct"/>
            <w:vMerge w:val="restart"/>
            <w:tcBorders>
              <w:top w:val="double" w:sz="6" w:space="0" w:color="0070C0"/>
              <w:left w:val="single" w:sz="12" w:space="0" w:color="0070C0"/>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Valutazione complessiva 2017</w:t>
            </w:r>
          </w:p>
        </w:tc>
        <w:tc>
          <w:tcPr>
            <w:tcW w:w="950" w:type="pct"/>
            <w:tcBorders>
              <w:top w:val="double" w:sz="6" w:space="0" w:color="0070C0"/>
              <w:left w:val="nil"/>
              <w:bottom w:val="nil"/>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Trend</w:t>
            </w:r>
          </w:p>
        </w:tc>
      </w:tr>
      <w:tr w:rsidR="00D16F67" w:rsidRPr="00E30E77" w:rsidTr="00827360">
        <w:trPr>
          <w:trHeight w:val="300"/>
        </w:trPr>
        <w:tc>
          <w:tcPr>
            <w:tcW w:w="1198" w:type="pct"/>
            <w:vMerge/>
            <w:tcBorders>
              <w:top w:val="double" w:sz="6" w:space="0" w:color="0070C0"/>
              <w:left w:val="single" w:sz="12" w:space="0" w:color="0070C0"/>
              <w:bottom w:val="double" w:sz="6" w:space="0" w:color="0070C0"/>
              <w:right w:val="single" w:sz="12" w:space="0" w:color="0070C0"/>
            </w:tcBorders>
            <w:vAlign w:val="center"/>
            <w:hideMark/>
          </w:tcPr>
          <w:p w:rsidR="00D16F67" w:rsidRPr="00E30E77" w:rsidRDefault="00D16F67" w:rsidP="00827360">
            <w:pPr>
              <w:suppressAutoHyphens w:val="0"/>
              <w:spacing w:before="0" w:after="0" w:line="240" w:lineRule="auto"/>
              <w:rPr>
                <w:rFonts w:cs="Times New Roman"/>
                <w:b/>
                <w:bCs/>
                <w:color w:val="000000"/>
                <w:sz w:val="18"/>
                <w:szCs w:val="16"/>
                <w:lang w:eastAsia="it-IT" w:bidi="ar-SA"/>
              </w:rPr>
            </w:pPr>
          </w:p>
        </w:tc>
        <w:tc>
          <w:tcPr>
            <w:tcW w:w="950" w:type="pct"/>
            <w:vMerge/>
            <w:tcBorders>
              <w:top w:val="double" w:sz="6" w:space="0" w:color="0070C0"/>
              <w:left w:val="single" w:sz="12" w:space="0" w:color="0070C0"/>
              <w:bottom w:val="double" w:sz="6" w:space="0" w:color="0070C0"/>
              <w:right w:val="single" w:sz="12" w:space="0" w:color="0070C0"/>
            </w:tcBorders>
            <w:vAlign w:val="center"/>
            <w:hideMark/>
          </w:tcPr>
          <w:p w:rsidR="00D16F67" w:rsidRPr="00E30E77" w:rsidRDefault="00D16F67" w:rsidP="00827360">
            <w:pPr>
              <w:suppressAutoHyphens w:val="0"/>
              <w:spacing w:before="0" w:after="0" w:line="240" w:lineRule="auto"/>
              <w:rPr>
                <w:rFonts w:cs="Times New Roman"/>
                <w:b/>
                <w:bCs/>
                <w:color w:val="000000"/>
                <w:sz w:val="18"/>
                <w:szCs w:val="16"/>
                <w:lang w:eastAsia="it-IT" w:bidi="ar-SA"/>
              </w:rPr>
            </w:pPr>
          </w:p>
        </w:tc>
        <w:tc>
          <w:tcPr>
            <w:tcW w:w="950" w:type="pct"/>
            <w:vMerge/>
            <w:tcBorders>
              <w:top w:val="double" w:sz="6" w:space="0" w:color="0070C0"/>
              <w:left w:val="nil"/>
              <w:bottom w:val="double" w:sz="6" w:space="0" w:color="0070C0"/>
              <w:right w:val="single" w:sz="12" w:space="0" w:color="0070C0"/>
            </w:tcBorders>
            <w:vAlign w:val="center"/>
            <w:hideMark/>
          </w:tcPr>
          <w:p w:rsidR="00D16F67" w:rsidRPr="00E30E77" w:rsidRDefault="00D16F67" w:rsidP="00827360">
            <w:pPr>
              <w:suppressAutoHyphens w:val="0"/>
              <w:spacing w:before="0" w:after="0" w:line="240" w:lineRule="auto"/>
              <w:rPr>
                <w:rFonts w:cs="Times New Roman"/>
                <w:b/>
                <w:bCs/>
                <w:color w:val="000000"/>
                <w:sz w:val="18"/>
                <w:szCs w:val="16"/>
                <w:lang w:eastAsia="it-IT" w:bidi="ar-SA"/>
              </w:rPr>
            </w:pPr>
          </w:p>
        </w:tc>
        <w:tc>
          <w:tcPr>
            <w:tcW w:w="950" w:type="pct"/>
            <w:vMerge/>
            <w:tcBorders>
              <w:top w:val="double" w:sz="6" w:space="0" w:color="0070C0"/>
              <w:left w:val="single" w:sz="12" w:space="0" w:color="0070C0"/>
              <w:bottom w:val="double" w:sz="6" w:space="0" w:color="0070C0"/>
              <w:right w:val="single" w:sz="12" w:space="0" w:color="0070C0"/>
            </w:tcBorders>
            <w:vAlign w:val="center"/>
            <w:hideMark/>
          </w:tcPr>
          <w:p w:rsidR="00D16F67" w:rsidRPr="00E30E77" w:rsidRDefault="00D16F67" w:rsidP="00827360">
            <w:pPr>
              <w:suppressAutoHyphens w:val="0"/>
              <w:spacing w:before="0" w:after="0" w:line="240" w:lineRule="auto"/>
              <w:rPr>
                <w:rFonts w:cs="Times New Roman"/>
                <w:b/>
                <w:bCs/>
                <w:color w:val="000000"/>
                <w:sz w:val="18"/>
                <w:szCs w:val="16"/>
                <w:lang w:eastAsia="it-IT" w:bidi="ar-SA"/>
              </w:rPr>
            </w:pPr>
          </w:p>
        </w:tc>
        <w:tc>
          <w:tcPr>
            <w:tcW w:w="950" w:type="pct"/>
            <w:tcBorders>
              <w:top w:val="nil"/>
              <w:left w:val="nil"/>
              <w:bottom w:val="nil"/>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17/16</w:t>
            </w:r>
          </w:p>
        </w:tc>
      </w:tr>
      <w:tr w:rsidR="00D16F67" w:rsidRPr="00E30E77" w:rsidTr="00827360">
        <w:trPr>
          <w:trHeight w:val="35"/>
        </w:trPr>
        <w:tc>
          <w:tcPr>
            <w:tcW w:w="1198" w:type="pct"/>
            <w:vMerge/>
            <w:tcBorders>
              <w:top w:val="double" w:sz="6" w:space="0" w:color="0070C0"/>
              <w:left w:val="single" w:sz="12" w:space="0" w:color="0070C0"/>
              <w:bottom w:val="double" w:sz="6" w:space="0" w:color="0070C0"/>
              <w:right w:val="single" w:sz="12" w:space="0" w:color="0070C0"/>
            </w:tcBorders>
            <w:vAlign w:val="center"/>
            <w:hideMark/>
          </w:tcPr>
          <w:p w:rsidR="00D16F67" w:rsidRPr="00E30E77" w:rsidRDefault="00D16F67" w:rsidP="00827360">
            <w:pPr>
              <w:suppressAutoHyphens w:val="0"/>
              <w:spacing w:before="0" w:after="0" w:line="240" w:lineRule="auto"/>
              <w:rPr>
                <w:rFonts w:cs="Times New Roman"/>
                <w:b/>
                <w:bCs/>
                <w:color w:val="000000"/>
                <w:sz w:val="18"/>
                <w:szCs w:val="16"/>
                <w:lang w:eastAsia="it-IT" w:bidi="ar-SA"/>
              </w:rPr>
            </w:pPr>
          </w:p>
        </w:tc>
        <w:tc>
          <w:tcPr>
            <w:tcW w:w="950" w:type="pct"/>
            <w:vMerge/>
            <w:tcBorders>
              <w:top w:val="double" w:sz="6" w:space="0" w:color="0070C0"/>
              <w:left w:val="single" w:sz="12" w:space="0" w:color="0070C0"/>
              <w:bottom w:val="double" w:sz="6" w:space="0" w:color="0070C0"/>
              <w:right w:val="single" w:sz="12" w:space="0" w:color="0070C0"/>
            </w:tcBorders>
            <w:vAlign w:val="center"/>
            <w:hideMark/>
          </w:tcPr>
          <w:p w:rsidR="00D16F67" w:rsidRPr="00E30E77" w:rsidRDefault="00D16F67" w:rsidP="00827360">
            <w:pPr>
              <w:suppressAutoHyphens w:val="0"/>
              <w:spacing w:before="0" w:after="0" w:line="240" w:lineRule="auto"/>
              <w:rPr>
                <w:rFonts w:cs="Times New Roman"/>
                <w:b/>
                <w:bCs/>
                <w:color w:val="000000"/>
                <w:sz w:val="18"/>
                <w:szCs w:val="16"/>
                <w:lang w:eastAsia="it-IT" w:bidi="ar-SA"/>
              </w:rPr>
            </w:pPr>
          </w:p>
        </w:tc>
        <w:tc>
          <w:tcPr>
            <w:tcW w:w="950" w:type="pct"/>
            <w:vMerge/>
            <w:tcBorders>
              <w:top w:val="double" w:sz="6" w:space="0" w:color="0070C0"/>
              <w:left w:val="nil"/>
              <w:bottom w:val="double" w:sz="6" w:space="0" w:color="0070C0"/>
              <w:right w:val="single" w:sz="12" w:space="0" w:color="0070C0"/>
            </w:tcBorders>
            <w:vAlign w:val="center"/>
            <w:hideMark/>
          </w:tcPr>
          <w:p w:rsidR="00D16F67" w:rsidRPr="00E30E77" w:rsidRDefault="00D16F67" w:rsidP="00827360">
            <w:pPr>
              <w:suppressAutoHyphens w:val="0"/>
              <w:spacing w:before="0" w:after="0" w:line="240" w:lineRule="auto"/>
              <w:rPr>
                <w:rFonts w:cs="Times New Roman"/>
                <w:b/>
                <w:bCs/>
                <w:color w:val="000000"/>
                <w:sz w:val="18"/>
                <w:szCs w:val="16"/>
                <w:lang w:eastAsia="it-IT" w:bidi="ar-SA"/>
              </w:rPr>
            </w:pPr>
          </w:p>
        </w:tc>
        <w:tc>
          <w:tcPr>
            <w:tcW w:w="950" w:type="pct"/>
            <w:vMerge/>
            <w:tcBorders>
              <w:top w:val="double" w:sz="6" w:space="0" w:color="0070C0"/>
              <w:left w:val="single" w:sz="12" w:space="0" w:color="0070C0"/>
              <w:bottom w:val="double" w:sz="6" w:space="0" w:color="0070C0"/>
              <w:right w:val="single" w:sz="12" w:space="0" w:color="0070C0"/>
            </w:tcBorders>
            <w:vAlign w:val="center"/>
            <w:hideMark/>
          </w:tcPr>
          <w:p w:rsidR="00D16F67" w:rsidRPr="00E30E77" w:rsidRDefault="00D16F67" w:rsidP="00827360">
            <w:pPr>
              <w:suppressAutoHyphens w:val="0"/>
              <w:spacing w:before="0" w:after="0" w:line="240" w:lineRule="auto"/>
              <w:rPr>
                <w:rFonts w:cs="Times New Roman"/>
                <w:b/>
                <w:bCs/>
                <w:color w:val="000000"/>
                <w:sz w:val="18"/>
                <w:szCs w:val="16"/>
                <w:lang w:eastAsia="it-IT" w:bidi="ar-SA"/>
              </w:rPr>
            </w:pPr>
          </w:p>
        </w:tc>
        <w:tc>
          <w:tcPr>
            <w:tcW w:w="950" w:type="pct"/>
            <w:tcBorders>
              <w:top w:val="nil"/>
              <w:left w:val="nil"/>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rPr>
                <w:rFonts w:cs="Times New Roman"/>
                <w:color w:val="000000"/>
                <w:sz w:val="18"/>
                <w:szCs w:val="22"/>
                <w:lang w:eastAsia="it-IT" w:bidi="ar-SA"/>
              </w:rPr>
            </w:pPr>
            <w:r w:rsidRPr="00E30E77">
              <w:rPr>
                <w:rFonts w:cs="Times New Roman"/>
                <w:color w:val="000000"/>
                <w:sz w:val="18"/>
                <w:szCs w:val="22"/>
                <w:lang w:eastAsia="it-IT" w:bidi="ar-SA"/>
              </w:rPr>
              <w:t> </w:t>
            </w:r>
          </w:p>
        </w:tc>
      </w:tr>
      <w:tr w:rsidR="00D16F67" w:rsidRPr="00E30E77" w:rsidTr="00827360">
        <w:trPr>
          <w:trHeight w:val="35"/>
        </w:trPr>
        <w:tc>
          <w:tcPr>
            <w:tcW w:w="1198"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rPr>
                <w:rFonts w:cs="Times New Roman"/>
                <w:color w:val="000000"/>
                <w:sz w:val="18"/>
                <w:szCs w:val="22"/>
                <w:lang w:eastAsia="it-IT" w:bidi="ar-SA"/>
              </w:rPr>
            </w:pPr>
          </w:p>
        </w:tc>
        <w:tc>
          <w:tcPr>
            <w:tcW w:w="950" w:type="pct"/>
            <w:tcBorders>
              <w:top w:val="nil"/>
              <w:left w:val="nil"/>
              <w:bottom w:val="nil"/>
              <w:right w:val="nil"/>
            </w:tcBorders>
            <w:shd w:val="clear" w:color="auto" w:fill="auto"/>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jc w:val="center"/>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r>
      <w:tr w:rsidR="00D16F67" w:rsidRPr="00E30E77" w:rsidTr="00827360">
        <w:trPr>
          <w:trHeight w:val="330"/>
        </w:trPr>
        <w:tc>
          <w:tcPr>
            <w:tcW w:w="1198" w:type="pct"/>
            <w:tcBorders>
              <w:top w:val="double" w:sz="6" w:space="0" w:color="0070C0"/>
              <w:left w:val="single" w:sz="12" w:space="0" w:color="0070C0"/>
              <w:bottom w:val="double" w:sz="6" w:space="0" w:color="0070C0"/>
              <w:right w:val="single" w:sz="12" w:space="0" w:color="0070C0"/>
            </w:tcBorders>
            <w:shd w:val="clear" w:color="000000" w:fill="FFFFFF"/>
            <w:noWrap/>
            <w:vAlign w:val="center"/>
            <w:hideMark/>
          </w:tcPr>
          <w:p w:rsidR="00D16F67" w:rsidRPr="00E30E77" w:rsidRDefault="007F67CB" w:rsidP="00827360">
            <w:pPr>
              <w:suppressAutoHyphens w:val="0"/>
              <w:spacing w:before="0" w:after="0" w:line="240" w:lineRule="auto"/>
              <w:rPr>
                <w:rFonts w:cs="Times New Roman"/>
                <w:color w:val="0563C1"/>
                <w:sz w:val="18"/>
                <w:szCs w:val="22"/>
                <w:u w:val="single"/>
                <w:lang w:eastAsia="it-IT" w:bidi="ar-SA"/>
              </w:rPr>
            </w:pPr>
            <w:hyperlink r:id="rId39" w:anchor="Foglio1!A1" w:history="1">
              <w:r w:rsidR="00D16F67" w:rsidRPr="00E30E77">
                <w:rPr>
                  <w:rFonts w:cs="Times New Roman"/>
                  <w:color w:val="0563C1"/>
                  <w:sz w:val="18"/>
                  <w:szCs w:val="22"/>
                  <w:u w:val="single"/>
                  <w:lang w:eastAsia="it-IT" w:bidi="ar-SA"/>
                </w:rPr>
                <w:t>CA Mammella</w:t>
              </w:r>
            </w:hyperlink>
          </w:p>
        </w:tc>
        <w:tc>
          <w:tcPr>
            <w:tcW w:w="950"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81%</w:t>
            </w:r>
          </w:p>
        </w:tc>
        <w:tc>
          <w:tcPr>
            <w:tcW w:w="950"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81%</w:t>
            </w:r>
          </w:p>
        </w:tc>
        <w:tc>
          <w:tcPr>
            <w:tcW w:w="950"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86%</w:t>
            </w:r>
          </w:p>
        </w:tc>
        <w:tc>
          <w:tcPr>
            <w:tcW w:w="950" w:type="pct"/>
            <w:tcBorders>
              <w:top w:val="double" w:sz="6" w:space="0" w:color="0070C0"/>
              <w:left w:val="nil"/>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00B050"/>
                <w:sz w:val="18"/>
                <w:szCs w:val="16"/>
                <w:lang w:eastAsia="it-IT" w:bidi="ar-SA"/>
              </w:rPr>
            </w:pPr>
            <w:r w:rsidRPr="00E30E77">
              <w:rPr>
                <w:rFonts w:cs="Times New Roman"/>
                <w:b/>
                <w:bCs/>
                <w:color w:val="00B050"/>
                <w:sz w:val="18"/>
                <w:szCs w:val="16"/>
                <w:lang w:eastAsia="it-IT" w:bidi="ar-SA"/>
              </w:rPr>
              <w:t>↑</w:t>
            </w:r>
          </w:p>
        </w:tc>
      </w:tr>
      <w:tr w:rsidR="00D16F67" w:rsidRPr="00E30E77" w:rsidTr="00827360">
        <w:trPr>
          <w:trHeight w:val="35"/>
        </w:trPr>
        <w:tc>
          <w:tcPr>
            <w:tcW w:w="1198"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jc w:val="center"/>
              <w:rPr>
                <w:rFonts w:cs="Times New Roman"/>
                <w:b/>
                <w:bCs/>
                <w:color w:val="00B050"/>
                <w:sz w:val="18"/>
                <w:szCs w:val="16"/>
                <w:lang w:eastAsia="it-IT" w:bidi="ar-SA"/>
              </w:rPr>
            </w:pPr>
          </w:p>
        </w:tc>
        <w:tc>
          <w:tcPr>
            <w:tcW w:w="950" w:type="pct"/>
            <w:tcBorders>
              <w:top w:val="nil"/>
              <w:left w:val="nil"/>
              <w:bottom w:val="nil"/>
              <w:right w:val="nil"/>
            </w:tcBorders>
            <w:shd w:val="clear" w:color="auto" w:fill="auto"/>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jc w:val="center"/>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r>
      <w:tr w:rsidR="00D16F67" w:rsidRPr="00E30E77" w:rsidTr="00827360">
        <w:trPr>
          <w:trHeight w:val="330"/>
        </w:trPr>
        <w:tc>
          <w:tcPr>
            <w:tcW w:w="1198" w:type="pct"/>
            <w:tcBorders>
              <w:top w:val="double" w:sz="6" w:space="0" w:color="0070C0"/>
              <w:left w:val="single" w:sz="12" w:space="0" w:color="0070C0"/>
              <w:bottom w:val="double" w:sz="6" w:space="0" w:color="0070C0"/>
              <w:right w:val="single" w:sz="12" w:space="0" w:color="0070C0"/>
            </w:tcBorders>
            <w:shd w:val="clear" w:color="000000" w:fill="FFFFFF"/>
            <w:noWrap/>
            <w:vAlign w:val="center"/>
            <w:hideMark/>
          </w:tcPr>
          <w:p w:rsidR="00D16F67" w:rsidRPr="00E30E77" w:rsidRDefault="007F67CB" w:rsidP="00827360">
            <w:pPr>
              <w:suppressAutoHyphens w:val="0"/>
              <w:spacing w:before="0" w:after="0" w:line="240" w:lineRule="auto"/>
              <w:rPr>
                <w:rFonts w:cs="Times New Roman"/>
                <w:color w:val="0563C1"/>
                <w:sz w:val="18"/>
                <w:szCs w:val="22"/>
                <w:u w:val="single"/>
                <w:lang w:eastAsia="it-IT" w:bidi="ar-SA"/>
              </w:rPr>
            </w:pPr>
            <w:hyperlink r:id="rId40" w:anchor="Foglio1!A1" w:history="1">
              <w:r w:rsidR="00D16F67" w:rsidRPr="00E30E77">
                <w:rPr>
                  <w:rFonts w:cs="Times New Roman"/>
                  <w:color w:val="0563C1"/>
                  <w:sz w:val="18"/>
                  <w:szCs w:val="22"/>
                  <w:u w:val="single"/>
                  <w:lang w:eastAsia="it-IT" w:bidi="ar-SA"/>
                </w:rPr>
                <w:t>CA Colon</w:t>
              </w:r>
            </w:hyperlink>
          </w:p>
        </w:tc>
        <w:tc>
          <w:tcPr>
            <w:tcW w:w="950"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89%</w:t>
            </w:r>
          </w:p>
        </w:tc>
        <w:tc>
          <w:tcPr>
            <w:tcW w:w="950"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90%</w:t>
            </w:r>
          </w:p>
        </w:tc>
        <w:tc>
          <w:tcPr>
            <w:tcW w:w="950"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85%</w:t>
            </w:r>
          </w:p>
        </w:tc>
        <w:tc>
          <w:tcPr>
            <w:tcW w:w="950" w:type="pct"/>
            <w:tcBorders>
              <w:top w:val="double" w:sz="6" w:space="0" w:color="0070C0"/>
              <w:left w:val="nil"/>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FF0000"/>
                <w:sz w:val="18"/>
                <w:szCs w:val="16"/>
                <w:lang w:eastAsia="it-IT" w:bidi="ar-SA"/>
              </w:rPr>
            </w:pPr>
            <w:r w:rsidRPr="00E30E77">
              <w:rPr>
                <w:rFonts w:cs="Times New Roman"/>
                <w:b/>
                <w:bCs/>
                <w:color w:val="FF0000"/>
                <w:sz w:val="18"/>
                <w:szCs w:val="16"/>
                <w:lang w:eastAsia="it-IT" w:bidi="ar-SA"/>
              </w:rPr>
              <w:t>↓</w:t>
            </w:r>
          </w:p>
        </w:tc>
      </w:tr>
      <w:tr w:rsidR="00D16F67" w:rsidRPr="00E30E77" w:rsidTr="00827360">
        <w:trPr>
          <w:trHeight w:val="35"/>
        </w:trPr>
        <w:tc>
          <w:tcPr>
            <w:tcW w:w="1198"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jc w:val="center"/>
              <w:rPr>
                <w:rFonts w:cs="Times New Roman"/>
                <w:b/>
                <w:bCs/>
                <w:color w:val="FF0000"/>
                <w:sz w:val="18"/>
                <w:szCs w:val="16"/>
                <w:lang w:eastAsia="it-IT" w:bidi="ar-SA"/>
              </w:rPr>
            </w:pPr>
          </w:p>
        </w:tc>
        <w:tc>
          <w:tcPr>
            <w:tcW w:w="950" w:type="pct"/>
            <w:tcBorders>
              <w:top w:val="nil"/>
              <w:left w:val="nil"/>
              <w:bottom w:val="nil"/>
              <w:right w:val="nil"/>
            </w:tcBorders>
            <w:shd w:val="clear" w:color="auto" w:fill="auto"/>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jc w:val="center"/>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r>
      <w:tr w:rsidR="00D16F67" w:rsidRPr="00E30E77" w:rsidTr="00827360">
        <w:trPr>
          <w:trHeight w:val="330"/>
        </w:trPr>
        <w:tc>
          <w:tcPr>
            <w:tcW w:w="1198" w:type="pct"/>
            <w:tcBorders>
              <w:top w:val="double" w:sz="6" w:space="0" w:color="0070C0"/>
              <w:left w:val="single" w:sz="12" w:space="0" w:color="0070C0"/>
              <w:bottom w:val="double" w:sz="6" w:space="0" w:color="0070C0"/>
              <w:right w:val="single" w:sz="12" w:space="0" w:color="0070C0"/>
            </w:tcBorders>
            <w:shd w:val="clear" w:color="000000" w:fill="FFFFFF"/>
            <w:noWrap/>
            <w:vAlign w:val="center"/>
            <w:hideMark/>
          </w:tcPr>
          <w:p w:rsidR="00D16F67" w:rsidRPr="00E30E77" w:rsidRDefault="007F67CB" w:rsidP="00827360">
            <w:pPr>
              <w:suppressAutoHyphens w:val="0"/>
              <w:spacing w:before="0" w:after="0" w:line="240" w:lineRule="auto"/>
              <w:rPr>
                <w:rFonts w:cs="Times New Roman"/>
                <w:color w:val="0563C1"/>
                <w:sz w:val="18"/>
                <w:szCs w:val="22"/>
                <w:u w:val="single"/>
                <w:lang w:eastAsia="it-IT" w:bidi="ar-SA"/>
              </w:rPr>
            </w:pPr>
            <w:hyperlink r:id="rId41" w:anchor="Foglio1!A1" w:history="1">
              <w:r w:rsidR="00D16F67" w:rsidRPr="00E30E77">
                <w:rPr>
                  <w:rFonts w:cs="Times New Roman"/>
                  <w:color w:val="0563C1"/>
                  <w:sz w:val="18"/>
                  <w:szCs w:val="22"/>
                  <w:u w:val="single"/>
                  <w:lang w:eastAsia="it-IT" w:bidi="ar-SA"/>
                </w:rPr>
                <w:t>Percorso nascita</w:t>
              </w:r>
            </w:hyperlink>
          </w:p>
        </w:tc>
        <w:tc>
          <w:tcPr>
            <w:tcW w:w="950"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92%</w:t>
            </w:r>
          </w:p>
        </w:tc>
        <w:tc>
          <w:tcPr>
            <w:tcW w:w="950"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88%</w:t>
            </w:r>
          </w:p>
        </w:tc>
        <w:tc>
          <w:tcPr>
            <w:tcW w:w="950"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91%</w:t>
            </w:r>
          </w:p>
        </w:tc>
        <w:tc>
          <w:tcPr>
            <w:tcW w:w="950" w:type="pct"/>
            <w:tcBorders>
              <w:top w:val="double" w:sz="6" w:space="0" w:color="0070C0"/>
              <w:left w:val="nil"/>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00B050"/>
                <w:sz w:val="18"/>
                <w:szCs w:val="16"/>
                <w:lang w:eastAsia="it-IT" w:bidi="ar-SA"/>
              </w:rPr>
            </w:pPr>
            <w:r w:rsidRPr="00E30E77">
              <w:rPr>
                <w:rFonts w:cs="Times New Roman"/>
                <w:b/>
                <w:bCs/>
                <w:color w:val="00B050"/>
                <w:sz w:val="18"/>
                <w:szCs w:val="16"/>
                <w:lang w:eastAsia="it-IT" w:bidi="ar-SA"/>
              </w:rPr>
              <w:t>↑</w:t>
            </w:r>
          </w:p>
        </w:tc>
      </w:tr>
      <w:tr w:rsidR="00D16F67" w:rsidRPr="00E30E77" w:rsidTr="00827360">
        <w:trPr>
          <w:trHeight w:val="35"/>
        </w:trPr>
        <w:tc>
          <w:tcPr>
            <w:tcW w:w="1198"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jc w:val="center"/>
              <w:rPr>
                <w:rFonts w:cs="Times New Roman"/>
                <w:b/>
                <w:bCs/>
                <w:color w:val="00B050"/>
                <w:sz w:val="18"/>
                <w:szCs w:val="16"/>
                <w:lang w:eastAsia="it-IT" w:bidi="ar-SA"/>
              </w:rPr>
            </w:pPr>
          </w:p>
        </w:tc>
        <w:tc>
          <w:tcPr>
            <w:tcW w:w="950" w:type="pct"/>
            <w:tcBorders>
              <w:top w:val="nil"/>
              <w:left w:val="nil"/>
              <w:bottom w:val="nil"/>
              <w:right w:val="nil"/>
            </w:tcBorders>
            <w:shd w:val="clear" w:color="auto" w:fill="auto"/>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jc w:val="center"/>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r>
      <w:tr w:rsidR="00D16F67" w:rsidRPr="00E30E77" w:rsidTr="00827360">
        <w:trPr>
          <w:trHeight w:val="330"/>
        </w:trPr>
        <w:tc>
          <w:tcPr>
            <w:tcW w:w="1198" w:type="pct"/>
            <w:tcBorders>
              <w:top w:val="double" w:sz="6" w:space="0" w:color="0070C0"/>
              <w:left w:val="single" w:sz="12" w:space="0" w:color="0070C0"/>
              <w:bottom w:val="double" w:sz="6" w:space="0" w:color="0070C0"/>
              <w:right w:val="single" w:sz="12" w:space="0" w:color="0070C0"/>
            </w:tcBorders>
            <w:shd w:val="clear" w:color="000000" w:fill="FFFFFF"/>
            <w:noWrap/>
            <w:vAlign w:val="center"/>
            <w:hideMark/>
          </w:tcPr>
          <w:p w:rsidR="00D16F67" w:rsidRPr="00E30E77" w:rsidRDefault="007F67CB" w:rsidP="00827360">
            <w:pPr>
              <w:suppressAutoHyphens w:val="0"/>
              <w:spacing w:before="0" w:after="0" w:line="240" w:lineRule="auto"/>
              <w:rPr>
                <w:rFonts w:cs="Times New Roman"/>
                <w:color w:val="0563C1"/>
                <w:sz w:val="18"/>
                <w:szCs w:val="22"/>
                <w:u w:val="single"/>
                <w:lang w:eastAsia="it-IT" w:bidi="ar-SA"/>
              </w:rPr>
            </w:pPr>
            <w:hyperlink r:id="rId42" w:anchor="Foglio1!A1" w:history="1">
              <w:r w:rsidR="00D16F67" w:rsidRPr="00E30E77">
                <w:rPr>
                  <w:rFonts w:cs="Times New Roman"/>
                  <w:color w:val="0563C1"/>
                  <w:sz w:val="18"/>
                  <w:szCs w:val="22"/>
                  <w:u w:val="single"/>
                  <w:lang w:eastAsia="it-IT" w:bidi="ar-SA"/>
                </w:rPr>
                <w:t>Ictus</w:t>
              </w:r>
            </w:hyperlink>
          </w:p>
        </w:tc>
        <w:tc>
          <w:tcPr>
            <w:tcW w:w="950"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96%</w:t>
            </w:r>
          </w:p>
        </w:tc>
        <w:tc>
          <w:tcPr>
            <w:tcW w:w="950"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92%</w:t>
            </w:r>
          </w:p>
        </w:tc>
        <w:tc>
          <w:tcPr>
            <w:tcW w:w="950"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94%</w:t>
            </w:r>
          </w:p>
        </w:tc>
        <w:tc>
          <w:tcPr>
            <w:tcW w:w="950" w:type="pct"/>
            <w:tcBorders>
              <w:top w:val="double" w:sz="6" w:space="0" w:color="0070C0"/>
              <w:left w:val="nil"/>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00B050"/>
                <w:sz w:val="18"/>
                <w:szCs w:val="16"/>
                <w:lang w:eastAsia="it-IT" w:bidi="ar-SA"/>
              </w:rPr>
            </w:pPr>
            <w:r w:rsidRPr="00E30E77">
              <w:rPr>
                <w:rFonts w:cs="Times New Roman"/>
                <w:b/>
                <w:bCs/>
                <w:color w:val="00B050"/>
                <w:sz w:val="18"/>
                <w:szCs w:val="16"/>
                <w:lang w:eastAsia="it-IT" w:bidi="ar-SA"/>
              </w:rPr>
              <w:t>↑</w:t>
            </w:r>
          </w:p>
        </w:tc>
      </w:tr>
      <w:tr w:rsidR="00D16F67" w:rsidRPr="00E30E77" w:rsidTr="00827360">
        <w:trPr>
          <w:trHeight w:val="35"/>
        </w:trPr>
        <w:tc>
          <w:tcPr>
            <w:tcW w:w="1198"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jc w:val="center"/>
              <w:rPr>
                <w:rFonts w:cs="Times New Roman"/>
                <w:b/>
                <w:bCs/>
                <w:color w:val="00B050"/>
                <w:sz w:val="18"/>
                <w:szCs w:val="16"/>
                <w:lang w:eastAsia="it-IT" w:bidi="ar-SA"/>
              </w:rPr>
            </w:pPr>
          </w:p>
        </w:tc>
        <w:tc>
          <w:tcPr>
            <w:tcW w:w="950" w:type="pct"/>
            <w:tcBorders>
              <w:top w:val="nil"/>
              <w:left w:val="nil"/>
              <w:bottom w:val="nil"/>
              <w:right w:val="nil"/>
            </w:tcBorders>
            <w:shd w:val="clear" w:color="auto" w:fill="auto"/>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jc w:val="center"/>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r>
      <w:tr w:rsidR="00D16F67" w:rsidRPr="00E30E77" w:rsidTr="00827360">
        <w:trPr>
          <w:trHeight w:val="459"/>
        </w:trPr>
        <w:tc>
          <w:tcPr>
            <w:tcW w:w="1198" w:type="pct"/>
            <w:tcBorders>
              <w:top w:val="double" w:sz="6" w:space="0" w:color="0070C0"/>
              <w:left w:val="single" w:sz="12" w:space="0" w:color="0070C0"/>
              <w:bottom w:val="double" w:sz="6" w:space="0" w:color="0070C0"/>
              <w:right w:val="single" w:sz="12" w:space="0" w:color="0070C0"/>
            </w:tcBorders>
            <w:shd w:val="clear" w:color="000000" w:fill="FFFFFF"/>
            <w:vAlign w:val="center"/>
            <w:hideMark/>
          </w:tcPr>
          <w:p w:rsidR="00D16F67" w:rsidRPr="00E30E77" w:rsidRDefault="007F67CB" w:rsidP="00827360">
            <w:pPr>
              <w:suppressAutoHyphens w:val="0"/>
              <w:spacing w:before="0" w:after="0" w:line="240" w:lineRule="auto"/>
              <w:rPr>
                <w:rFonts w:cs="Times New Roman"/>
                <w:color w:val="0563C1"/>
                <w:sz w:val="18"/>
                <w:szCs w:val="22"/>
                <w:u w:val="single"/>
                <w:lang w:eastAsia="it-IT" w:bidi="ar-SA"/>
              </w:rPr>
            </w:pPr>
            <w:hyperlink r:id="rId43" w:anchor="Foglio1!A1" w:history="1">
              <w:r w:rsidR="00D16F67" w:rsidRPr="00E30E77">
                <w:rPr>
                  <w:rFonts w:cs="Times New Roman"/>
                  <w:color w:val="0563C1"/>
                  <w:sz w:val="18"/>
                  <w:szCs w:val="22"/>
                  <w:u w:val="single"/>
                  <w:lang w:eastAsia="it-IT" w:bidi="ar-SA"/>
                </w:rPr>
                <w:t>Frattura del collo del femore nell'anziano</w:t>
              </w:r>
            </w:hyperlink>
          </w:p>
        </w:tc>
        <w:tc>
          <w:tcPr>
            <w:tcW w:w="950"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94%</w:t>
            </w:r>
          </w:p>
        </w:tc>
        <w:tc>
          <w:tcPr>
            <w:tcW w:w="950"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87%</w:t>
            </w:r>
          </w:p>
        </w:tc>
        <w:tc>
          <w:tcPr>
            <w:tcW w:w="950" w:type="pct"/>
            <w:tcBorders>
              <w:top w:val="double" w:sz="6" w:space="0" w:color="0070C0"/>
              <w:left w:val="nil"/>
              <w:bottom w:val="double" w:sz="6" w:space="0" w:color="0070C0"/>
              <w:right w:val="single" w:sz="12" w:space="0" w:color="0070C0"/>
            </w:tcBorders>
            <w:shd w:val="clear" w:color="000000" w:fill="92D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89%</w:t>
            </w:r>
          </w:p>
        </w:tc>
        <w:tc>
          <w:tcPr>
            <w:tcW w:w="950" w:type="pct"/>
            <w:tcBorders>
              <w:top w:val="double" w:sz="6" w:space="0" w:color="0070C0"/>
              <w:left w:val="nil"/>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00B050"/>
                <w:sz w:val="18"/>
                <w:szCs w:val="16"/>
                <w:lang w:eastAsia="it-IT" w:bidi="ar-SA"/>
              </w:rPr>
            </w:pPr>
            <w:r w:rsidRPr="00E30E77">
              <w:rPr>
                <w:rFonts w:cs="Times New Roman"/>
                <w:b/>
                <w:bCs/>
                <w:color w:val="00B050"/>
                <w:sz w:val="18"/>
                <w:szCs w:val="16"/>
                <w:lang w:eastAsia="it-IT" w:bidi="ar-SA"/>
              </w:rPr>
              <w:t>↑</w:t>
            </w:r>
          </w:p>
        </w:tc>
      </w:tr>
      <w:tr w:rsidR="00D16F67" w:rsidRPr="00E30E77" w:rsidTr="00827360">
        <w:trPr>
          <w:trHeight w:val="68"/>
        </w:trPr>
        <w:tc>
          <w:tcPr>
            <w:tcW w:w="1198"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jc w:val="center"/>
              <w:rPr>
                <w:rFonts w:cs="Times New Roman"/>
                <w:b/>
                <w:bCs/>
                <w:color w:val="00B050"/>
                <w:sz w:val="18"/>
                <w:szCs w:val="16"/>
                <w:lang w:eastAsia="it-IT" w:bidi="ar-SA"/>
              </w:rPr>
            </w:pPr>
          </w:p>
        </w:tc>
        <w:tc>
          <w:tcPr>
            <w:tcW w:w="950" w:type="pct"/>
            <w:tcBorders>
              <w:top w:val="nil"/>
              <w:left w:val="nil"/>
              <w:bottom w:val="nil"/>
              <w:right w:val="nil"/>
            </w:tcBorders>
            <w:shd w:val="clear" w:color="auto" w:fill="auto"/>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jc w:val="center"/>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center"/>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c>
          <w:tcPr>
            <w:tcW w:w="950" w:type="pct"/>
            <w:tcBorders>
              <w:top w:val="nil"/>
              <w:left w:val="nil"/>
              <w:bottom w:val="nil"/>
              <w:right w:val="nil"/>
            </w:tcBorders>
            <w:shd w:val="clear" w:color="auto" w:fill="auto"/>
            <w:noWrap/>
            <w:vAlign w:val="bottom"/>
            <w:hideMark/>
          </w:tcPr>
          <w:p w:rsidR="00D16F67" w:rsidRPr="00E30E77" w:rsidRDefault="00D16F67" w:rsidP="00827360">
            <w:pPr>
              <w:suppressAutoHyphens w:val="0"/>
              <w:spacing w:before="0" w:after="0" w:line="240" w:lineRule="auto"/>
              <w:rPr>
                <w:rFonts w:ascii="Times New Roman" w:hAnsi="Times New Roman" w:cs="Times New Roman"/>
                <w:sz w:val="18"/>
                <w:lang w:eastAsia="it-IT" w:bidi="ar-SA"/>
              </w:rPr>
            </w:pPr>
          </w:p>
        </w:tc>
      </w:tr>
      <w:tr w:rsidR="00D16F67" w:rsidRPr="00E30E77" w:rsidTr="00827360">
        <w:trPr>
          <w:trHeight w:val="330"/>
        </w:trPr>
        <w:tc>
          <w:tcPr>
            <w:tcW w:w="1198" w:type="pct"/>
            <w:tcBorders>
              <w:top w:val="double" w:sz="6" w:space="0" w:color="0070C0"/>
              <w:left w:val="single" w:sz="12" w:space="0" w:color="0070C0"/>
              <w:bottom w:val="double" w:sz="6" w:space="0" w:color="0070C0"/>
              <w:right w:val="single" w:sz="12" w:space="0" w:color="0070C0"/>
            </w:tcBorders>
            <w:shd w:val="clear" w:color="000000" w:fill="FFFFFF"/>
            <w:noWrap/>
            <w:vAlign w:val="center"/>
            <w:hideMark/>
          </w:tcPr>
          <w:p w:rsidR="00D16F67" w:rsidRPr="00E30E77" w:rsidRDefault="007F67CB" w:rsidP="00827360">
            <w:pPr>
              <w:suppressAutoHyphens w:val="0"/>
              <w:spacing w:before="0" w:after="0" w:line="240" w:lineRule="auto"/>
              <w:rPr>
                <w:rFonts w:cs="Times New Roman"/>
                <w:color w:val="0563C1"/>
                <w:sz w:val="18"/>
                <w:szCs w:val="22"/>
                <w:u w:val="single"/>
                <w:lang w:eastAsia="it-IT" w:bidi="ar-SA"/>
              </w:rPr>
            </w:pPr>
            <w:hyperlink r:id="rId44" w:anchor="Foglio1!A1" w:history="1">
              <w:r w:rsidR="00D16F67" w:rsidRPr="00E30E77">
                <w:rPr>
                  <w:rFonts w:cs="Times New Roman"/>
                  <w:color w:val="0563C1"/>
                  <w:sz w:val="18"/>
                  <w:szCs w:val="22"/>
                  <w:u w:val="single"/>
                  <w:lang w:eastAsia="it-IT" w:bidi="ar-SA"/>
                </w:rPr>
                <w:t>Scompenso Cardiaco</w:t>
              </w:r>
            </w:hyperlink>
          </w:p>
        </w:tc>
        <w:tc>
          <w:tcPr>
            <w:tcW w:w="950"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98%</w:t>
            </w:r>
          </w:p>
        </w:tc>
        <w:tc>
          <w:tcPr>
            <w:tcW w:w="950"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97%</w:t>
            </w:r>
          </w:p>
        </w:tc>
        <w:tc>
          <w:tcPr>
            <w:tcW w:w="950" w:type="pct"/>
            <w:tcBorders>
              <w:top w:val="double" w:sz="6" w:space="0" w:color="0070C0"/>
              <w:left w:val="nil"/>
              <w:bottom w:val="double" w:sz="6" w:space="0" w:color="0070C0"/>
              <w:right w:val="single" w:sz="12" w:space="0" w:color="0070C0"/>
            </w:tcBorders>
            <w:shd w:val="clear" w:color="000000" w:fill="00B050"/>
            <w:noWrap/>
            <w:vAlign w:val="center"/>
            <w:hideMark/>
          </w:tcPr>
          <w:p w:rsidR="00D16F67" w:rsidRPr="00E30E77" w:rsidRDefault="00D16F67" w:rsidP="00827360">
            <w:pPr>
              <w:suppressAutoHyphens w:val="0"/>
              <w:spacing w:before="0" w:after="0" w:line="240" w:lineRule="auto"/>
              <w:jc w:val="center"/>
              <w:rPr>
                <w:rFonts w:cs="Times New Roman"/>
                <w:b/>
                <w:bCs/>
                <w:color w:val="000000"/>
                <w:sz w:val="18"/>
                <w:szCs w:val="16"/>
                <w:lang w:eastAsia="it-IT" w:bidi="ar-SA"/>
              </w:rPr>
            </w:pPr>
            <w:r w:rsidRPr="00E30E77">
              <w:rPr>
                <w:rFonts w:cs="Times New Roman"/>
                <w:b/>
                <w:bCs/>
                <w:color w:val="000000"/>
                <w:sz w:val="18"/>
                <w:szCs w:val="16"/>
                <w:lang w:eastAsia="it-IT" w:bidi="ar-SA"/>
              </w:rPr>
              <w:t>93%</w:t>
            </w:r>
          </w:p>
        </w:tc>
        <w:tc>
          <w:tcPr>
            <w:tcW w:w="950" w:type="pct"/>
            <w:tcBorders>
              <w:top w:val="double" w:sz="6" w:space="0" w:color="0070C0"/>
              <w:left w:val="nil"/>
              <w:bottom w:val="double" w:sz="6" w:space="0" w:color="0070C0"/>
              <w:right w:val="single" w:sz="12" w:space="0" w:color="0070C0"/>
            </w:tcBorders>
            <w:shd w:val="clear" w:color="000000" w:fill="FFFFFF"/>
            <w:vAlign w:val="center"/>
            <w:hideMark/>
          </w:tcPr>
          <w:p w:rsidR="00D16F67" w:rsidRPr="00E30E77" w:rsidRDefault="00D16F67" w:rsidP="00827360">
            <w:pPr>
              <w:suppressAutoHyphens w:val="0"/>
              <w:spacing w:before="0" w:after="0" w:line="240" w:lineRule="auto"/>
              <w:jc w:val="center"/>
              <w:rPr>
                <w:rFonts w:cs="Times New Roman"/>
                <w:b/>
                <w:bCs/>
                <w:color w:val="FF0000"/>
                <w:sz w:val="18"/>
                <w:szCs w:val="16"/>
                <w:lang w:eastAsia="it-IT" w:bidi="ar-SA"/>
              </w:rPr>
            </w:pPr>
            <w:r w:rsidRPr="00E30E77">
              <w:rPr>
                <w:rFonts w:cs="Times New Roman"/>
                <w:b/>
                <w:bCs/>
                <w:color w:val="FF0000"/>
                <w:sz w:val="18"/>
                <w:szCs w:val="16"/>
                <w:lang w:eastAsia="it-IT" w:bidi="ar-SA"/>
              </w:rPr>
              <w:t>↓</w:t>
            </w:r>
          </w:p>
        </w:tc>
      </w:tr>
    </w:tbl>
    <w:p w:rsidR="00D16F67" w:rsidRDefault="00D16F67" w:rsidP="00D16F67">
      <w:pPr>
        <w:pStyle w:val="Paragrafoelenco1"/>
        <w:spacing w:before="0"/>
        <w:ind w:left="360"/>
        <w:jc w:val="both"/>
        <w:rPr>
          <w:sz w:val="20"/>
        </w:rPr>
      </w:pPr>
    </w:p>
    <w:p w:rsidR="00D16F67" w:rsidRDefault="00D16F67" w:rsidP="00D16F67">
      <w:pPr>
        <w:pStyle w:val="Paragrafoelenco1"/>
        <w:spacing w:before="0"/>
        <w:ind w:left="360"/>
        <w:jc w:val="both"/>
        <w:rPr>
          <w:sz w:val="20"/>
        </w:rPr>
      </w:pPr>
      <w:r>
        <w:rPr>
          <w:sz w:val="20"/>
        </w:rPr>
        <w:t xml:space="preserve">Viceversa mostrano un trend negativo il percorso Ca Colon e Scompenso Cardiaco, anche se quest’ultimo ha una valutazione complessiva superiore al 90%. </w:t>
      </w:r>
      <w:r w:rsidRPr="008F3874">
        <w:rPr>
          <w:sz w:val="20"/>
        </w:rPr>
        <w:t>Questa valutazione permette di poter intervenire per tempo nelle criticità emerse, finalizzate ad invertire il segno del cambiamento.</w:t>
      </w:r>
      <w:r>
        <w:rPr>
          <w:sz w:val="20"/>
        </w:rPr>
        <w:t xml:space="preserve">  </w:t>
      </w:r>
    </w:p>
    <w:p w:rsidR="00E27519" w:rsidRDefault="00E27519" w:rsidP="00D16F67">
      <w:pPr>
        <w:suppressAutoHyphens w:val="0"/>
        <w:spacing w:before="0"/>
        <w:ind w:left="284" w:right="284"/>
        <w:jc w:val="both"/>
        <w:rPr>
          <w:sz w:val="24"/>
        </w:rPr>
      </w:pPr>
    </w:p>
    <w:p w:rsidR="00E27519" w:rsidRDefault="0003178C">
      <w:pPr>
        <w:pStyle w:val="Titolo2"/>
        <w:numPr>
          <w:ilvl w:val="1"/>
          <w:numId w:val="6"/>
        </w:numPr>
      </w:pPr>
      <w:bookmarkStart w:id="27" w:name="_Toc518040064"/>
      <w:r>
        <w:t>4 Politiche per la valorizzazione professionale</w:t>
      </w:r>
      <w:bookmarkEnd w:id="27"/>
      <w:r>
        <w:t xml:space="preserve"> </w:t>
      </w:r>
    </w:p>
    <w:p w:rsidR="00E27519" w:rsidRDefault="0003178C">
      <w:pPr>
        <w:pStyle w:val="Paragrafoelenco1"/>
        <w:spacing w:before="0"/>
        <w:ind w:left="0"/>
        <w:jc w:val="both"/>
        <w:rPr>
          <w:sz w:val="20"/>
        </w:rPr>
      </w:pPr>
      <w:r>
        <w:rPr>
          <w:sz w:val="20"/>
        </w:rPr>
        <w:t xml:space="preserve">L’area delle Politiche per la valorizzazione professionale comprende tutte le politiche che favoriscono lo sviluppo del capitale umano dei professionisti, a partire dal monitoraggio delle competenze e dallo sviluppo delle capacità professionali, inclusa la collaborazione con i colleghi, la relazione e l’ascolto, l’orientamento al raggiungimento degli obiettivi e include gli strumenti di valutazione della performance individuali e/o di gruppo. La direzione dell’Azienda USL di Modena è impegnata nel mettere in atto azioni finalizzate alla costruzione di competenze evolute, di possibili percorsi di carriera, nel rispetto dei principi dell'integrità e della trasparenza degli atti. </w:t>
      </w:r>
    </w:p>
    <w:p w:rsidR="00E27519" w:rsidRDefault="0003178C">
      <w:pPr>
        <w:spacing w:before="0"/>
        <w:jc w:val="both"/>
        <w:rPr>
          <w:rFonts w:eastAsia="Calibri"/>
          <w:sz w:val="20"/>
          <w:lang w:eastAsia="en-US"/>
        </w:rPr>
      </w:pPr>
      <w:r>
        <w:rPr>
          <w:rFonts w:eastAsia="Calibri"/>
          <w:sz w:val="20"/>
          <w:lang w:eastAsia="en-US"/>
        </w:rPr>
        <w:t>La gestione delle risorse umane in Azienda USL di Modena, nel 201</w:t>
      </w:r>
      <w:r w:rsidR="004D3ACA">
        <w:rPr>
          <w:rFonts w:eastAsia="Calibri"/>
          <w:sz w:val="20"/>
          <w:lang w:eastAsia="en-US"/>
        </w:rPr>
        <w:t>7</w:t>
      </w:r>
      <w:r>
        <w:rPr>
          <w:rFonts w:eastAsia="Calibri"/>
          <w:sz w:val="20"/>
          <w:lang w:eastAsia="en-US"/>
        </w:rPr>
        <w:t>, è stata condizionata da alcuni progetti di rilevanza significativa:</w:t>
      </w:r>
    </w:p>
    <w:p w:rsidR="00E27519" w:rsidRDefault="00542FCD">
      <w:pPr>
        <w:pStyle w:val="Paragrafoelenco2"/>
        <w:numPr>
          <w:ilvl w:val="0"/>
          <w:numId w:val="21"/>
        </w:numPr>
        <w:jc w:val="both"/>
        <w:rPr>
          <w:rFonts w:asciiTheme="minorHAnsi" w:hAnsiTheme="minorHAnsi"/>
        </w:rPr>
      </w:pPr>
      <w:r>
        <w:rPr>
          <w:rFonts w:asciiTheme="minorHAnsi" w:hAnsiTheme="minorHAnsi"/>
        </w:rPr>
        <w:t>Revisione del modello organizzativo della DPS</w:t>
      </w:r>
      <w:r w:rsidR="009F3B24">
        <w:rPr>
          <w:rFonts w:asciiTheme="minorHAnsi" w:hAnsiTheme="minorHAnsi"/>
        </w:rPr>
        <w:t xml:space="preserve"> (luglio 2017)</w:t>
      </w:r>
      <w:r>
        <w:rPr>
          <w:rFonts w:asciiTheme="minorHAnsi" w:hAnsiTheme="minorHAnsi"/>
        </w:rPr>
        <w:t xml:space="preserve"> che ha portato alla formalizzazione di nuove Posizioni Organizzative a diretto inserimento nei Dipartimenti di produzione (PO Primary) e di PO Associate, per un totale di 20 posizioni bandite e assegnate dopo le procedure di selezione da novembre 2017. </w:t>
      </w:r>
    </w:p>
    <w:p w:rsidR="00E27519" w:rsidRDefault="00BA498C">
      <w:pPr>
        <w:pStyle w:val="Paragrafoelenco2"/>
        <w:numPr>
          <w:ilvl w:val="0"/>
          <w:numId w:val="21"/>
        </w:numPr>
        <w:jc w:val="both"/>
        <w:rPr>
          <w:rFonts w:asciiTheme="minorHAnsi" w:hAnsiTheme="minorHAnsi"/>
        </w:rPr>
      </w:pPr>
      <w:r>
        <w:rPr>
          <w:rFonts w:asciiTheme="minorHAnsi" w:hAnsiTheme="minorHAnsi"/>
        </w:rPr>
        <w:t>PEO</w:t>
      </w:r>
      <w:r w:rsidR="00542FCD">
        <w:rPr>
          <w:rFonts w:asciiTheme="minorHAnsi" w:hAnsiTheme="minorHAnsi"/>
        </w:rPr>
        <w:t>: progressioni economiche orizzontali: a seguito di accordo sindacale (</w:t>
      </w:r>
      <w:r w:rsidR="00851331">
        <w:rPr>
          <w:rFonts w:asciiTheme="minorHAnsi" w:hAnsiTheme="minorHAnsi"/>
        </w:rPr>
        <w:t>maggio</w:t>
      </w:r>
      <w:r w:rsidR="00542FCD">
        <w:rPr>
          <w:rFonts w:asciiTheme="minorHAnsi" w:hAnsiTheme="minorHAnsi"/>
        </w:rPr>
        <w:t xml:space="preserve"> 2017) è stato avviato il percorso di selezione per le PEO che, a seguito di un processo di valutazione basato sull’anzianità nella posizione, sulla valutazione attraverso quiz specifici per ruolo e sulla valutazione</w:t>
      </w:r>
      <w:r w:rsidR="00851331">
        <w:rPr>
          <w:rFonts w:asciiTheme="minorHAnsi" w:hAnsiTheme="minorHAnsi"/>
        </w:rPr>
        <w:t xml:space="preserve"> della prestazione </w:t>
      </w:r>
      <w:r w:rsidR="00542FCD">
        <w:rPr>
          <w:rFonts w:asciiTheme="minorHAnsi" w:hAnsiTheme="minorHAnsi"/>
        </w:rPr>
        <w:t xml:space="preserve">del responsabile diretto, ha complessivamente portato alla corresponsione della fascia economica a più </w:t>
      </w:r>
      <w:r w:rsidR="00443DF2">
        <w:rPr>
          <w:rFonts w:asciiTheme="minorHAnsi" w:hAnsiTheme="minorHAnsi"/>
        </w:rPr>
        <w:t xml:space="preserve">di </w:t>
      </w:r>
      <w:r w:rsidR="00B93618">
        <w:rPr>
          <w:rFonts w:asciiTheme="minorHAnsi" w:hAnsiTheme="minorHAnsi"/>
        </w:rPr>
        <w:t>3400 dipendenti (</w:t>
      </w:r>
      <w:r w:rsidR="00190ACB">
        <w:rPr>
          <w:rFonts w:asciiTheme="minorHAnsi" w:hAnsiTheme="minorHAnsi"/>
        </w:rPr>
        <w:t xml:space="preserve">ca. il </w:t>
      </w:r>
      <w:r w:rsidR="00542FCD">
        <w:rPr>
          <w:rFonts w:asciiTheme="minorHAnsi" w:hAnsiTheme="minorHAnsi"/>
        </w:rPr>
        <w:t>90% dei candidati</w:t>
      </w:r>
      <w:r w:rsidR="00B93618">
        <w:rPr>
          <w:rFonts w:asciiTheme="minorHAnsi" w:hAnsiTheme="minorHAnsi"/>
        </w:rPr>
        <w:t>)</w:t>
      </w:r>
      <w:r w:rsidR="00542FCD">
        <w:rPr>
          <w:rFonts w:asciiTheme="minorHAnsi" w:hAnsiTheme="minorHAnsi"/>
        </w:rPr>
        <w:t>.</w:t>
      </w:r>
    </w:p>
    <w:p w:rsidR="00443DF2" w:rsidRDefault="00443DF2">
      <w:pPr>
        <w:pStyle w:val="Paragrafoelenco2"/>
        <w:numPr>
          <w:ilvl w:val="0"/>
          <w:numId w:val="21"/>
        </w:numPr>
        <w:jc w:val="both"/>
        <w:rPr>
          <w:rFonts w:asciiTheme="minorHAnsi" w:hAnsiTheme="minorHAnsi"/>
        </w:rPr>
      </w:pPr>
      <w:r w:rsidRPr="005E53C0">
        <w:rPr>
          <w:rFonts w:asciiTheme="minorHAnsi" w:hAnsiTheme="minorHAnsi"/>
        </w:rPr>
        <w:t>Inserimenti/assunzioni in Azienda, a copertura di uscite o di nuove esigenze. L’Azienda ha proseguito nell’impegno volto alla immissione di nuovo personale, specialmente dei profili sanitari</w:t>
      </w:r>
      <w:r w:rsidR="005E53C0" w:rsidRPr="005E53C0">
        <w:rPr>
          <w:rFonts w:asciiTheme="minorHAnsi" w:hAnsiTheme="minorHAnsi"/>
        </w:rPr>
        <w:t xml:space="preserve"> tramite assunzioni e stabilizzazioni.</w:t>
      </w:r>
      <w:r w:rsidR="00133AED">
        <w:rPr>
          <w:rFonts w:asciiTheme="minorHAnsi" w:hAnsiTheme="minorHAnsi"/>
        </w:rPr>
        <w:t xml:space="preserve"> Il Piano assunzioni è stato realizzato al 31/12/2017</w:t>
      </w:r>
      <w:r w:rsidR="005E53C0" w:rsidRPr="005E53C0">
        <w:rPr>
          <w:rFonts w:asciiTheme="minorHAnsi" w:hAnsiTheme="minorHAnsi"/>
        </w:rPr>
        <w:t xml:space="preserve"> </w:t>
      </w:r>
      <w:r w:rsidR="00133AED">
        <w:rPr>
          <w:rFonts w:asciiTheme="minorHAnsi" w:hAnsiTheme="minorHAnsi"/>
        </w:rPr>
        <w:t xml:space="preserve">per il 92%, </w:t>
      </w:r>
      <w:r w:rsidR="00133AED" w:rsidRPr="00286909">
        <w:rPr>
          <w:rFonts w:asciiTheme="minorHAnsi" w:hAnsiTheme="minorHAnsi"/>
        </w:rPr>
        <w:t xml:space="preserve">con complessivamente </w:t>
      </w:r>
      <w:r w:rsidR="00286909" w:rsidRPr="00286909">
        <w:rPr>
          <w:rFonts w:asciiTheme="minorHAnsi" w:hAnsiTheme="minorHAnsi"/>
        </w:rPr>
        <w:t>284 a</w:t>
      </w:r>
      <w:r w:rsidR="00133AED" w:rsidRPr="00286909">
        <w:rPr>
          <w:rFonts w:asciiTheme="minorHAnsi" w:hAnsiTheme="minorHAnsi"/>
        </w:rPr>
        <w:t>ssunti nell’anno</w:t>
      </w:r>
      <w:r w:rsidR="00286909">
        <w:rPr>
          <w:rFonts w:asciiTheme="minorHAnsi" w:hAnsiTheme="minorHAnsi"/>
        </w:rPr>
        <w:t>, tra cui</w:t>
      </w:r>
      <w:r w:rsidR="00273AFE" w:rsidRPr="00286909">
        <w:rPr>
          <w:rFonts w:asciiTheme="minorHAnsi" w:hAnsiTheme="minorHAnsi"/>
        </w:rPr>
        <w:t xml:space="preserve"> tutte le 41</w:t>
      </w:r>
      <w:r w:rsidR="00273AFE">
        <w:rPr>
          <w:rFonts w:asciiTheme="minorHAnsi" w:hAnsiTheme="minorHAnsi"/>
        </w:rPr>
        <w:t xml:space="preserve"> stabilizzazioni autorizzate dalla RER</w:t>
      </w:r>
      <w:r w:rsidR="00133AED">
        <w:rPr>
          <w:rFonts w:asciiTheme="minorHAnsi" w:hAnsiTheme="minorHAnsi"/>
        </w:rPr>
        <w:t>.</w:t>
      </w:r>
    </w:p>
    <w:p w:rsidR="00D81C40" w:rsidRDefault="00D81C40" w:rsidP="00D81C40">
      <w:pPr>
        <w:pStyle w:val="Paragrafoelenco2"/>
        <w:jc w:val="both"/>
        <w:rPr>
          <w:rFonts w:asciiTheme="minorHAnsi" w:hAnsiTheme="minorHAnsi"/>
        </w:rPr>
      </w:pPr>
    </w:p>
    <w:p w:rsidR="00D81C40" w:rsidRDefault="00D81C40" w:rsidP="00D81C40">
      <w:pPr>
        <w:jc w:val="center"/>
      </w:pPr>
      <w:r>
        <w:rPr>
          <w:noProof/>
          <w:lang w:eastAsia="it-IT" w:bidi="ar-SA"/>
        </w:rPr>
        <w:lastRenderedPageBreak/>
        <w:drawing>
          <wp:inline distT="0" distB="0" distL="0" distR="0" wp14:anchorId="02217BCE" wp14:editId="599750AC">
            <wp:extent cx="5208905" cy="3717290"/>
            <wp:effectExtent l="0" t="0" r="10795" b="16510"/>
            <wp:docPr id="23"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81C40" w:rsidRDefault="00D81C40" w:rsidP="00D81C40">
      <w:pPr>
        <w:ind w:left="708"/>
      </w:pPr>
      <w:r>
        <w:rPr>
          <w:color w:val="000000"/>
          <w:sz w:val="20"/>
        </w:rPr>
        <w:t>La voce “assunti” comprende il personale rientrato in AUSL con Oncologia NOS</w:t>
      </w:r>
    </w:p>
    <w:p w:rsidR="00777CFF" w:rsidRPr="007D1362" w:rsidRDefault="00777CFF" w:rsidP="00777CFF">
      <w:pPr>
        <w:pStyle w:val="Paragrafoelenco1"/>
        <w:spacing w:before="0"/>
        <w:ind w:left="0"/>
        <w:jc w:val="both"/>
        <w:rPr>
          <w:sz w:val="20"/>
        </w:rPr>
      </w:pPr>
      <w:r w:rsidRPr="007D1362">
        <w:rPr>
          <w:sz w:val="20"/>
        </w:rPr>
        <w:t>Nell'anno 2017 l’Azienda, come provider ECM, ha accreditato complessivamente n. 677 corsi (dei quali 599 corsi erogati dall’Azienda USL, 51 corsi erogati da Enti Esterni e 27 corsi erogati dall'Ospedale di Sassuolo Spa), a fronte di un Piano Formativo Aziendale composto da 746 corsi (Delibera 170 del 12/6/2017).</w:t>
      </w:r>
    </w:p>
    <w:p w:rsidR="00777CFF" w:rsidRPr="007D1362" w:rsidRDefault="00777CFF" w:rsidP="00777CFF">
      <w:pPr>
        <w:pStyle w:val="Paragrafoelenco1"/>
        <w:spacing w:before="0"/>
        <w:ind w:left="0"/>
        <w:jc w:val="both"/>
        <w:rPr>
          <w:sz w:val="20"/>
        </w:rPr>
      </w:pPr>
      <w:r w:rsidRPr="007D1362">
        <w:rPr>
          <w:sz w:val="20"/>
        </w:rPr>
        <w:t>In specifico sono stati svolti nell’Azienda USL n. 625 corsi (poco meno dell’84%), di cui 599 accreditati e 26 non accreditati, che hanno registrato 30.401 partecipazioni da parte di operatori dipendenti e non dipendenti (Medici di Medicina Generale, Pediatri di Libera Scelta, Specialisti Ambulatoriali, operatori di ospedali privati accreditati, liberi professionisti). Ulteriori possi</w:t>
      </w:r>
      <w:r w:rsidR="00190ACB">
        <w:rPr>
          <w:sz w:val="20"/>
        </w:rPr>
        <w:t xml:space="preserve">bilità formative sono aggiunte </w:t>
      </w:r>
      <w:r w:rsidRPr="007D1362">
        <w:rPr>
          <w:sz w:val="20"/>
        </w:rPr>
        <w:t>dalle 835 partecipazioni in edizioni svolte presso il Nuovo Ospedale di Sassuolo e 1.483 partecipazioni in edizioni svolte presso Enti Esterni</w:t>
      </w:r>
      <w:r w:rsidR="005D390D" w:rsidRPr="007D1362">
        <w:rPr>
          <w:sz w:val="20"/>
        </w:rPr>
        <w:t>,</w:t>
      </w:r>
      <w:r w:rsidRPr="007D1362">
        <w:rPr>
          <w:sz w:val="20"/>
        </w:rPr>
        <w:t xml:space="preserve"> di cui la UOS Formazione segue le procedure di accreditamento.</w:t>
      </w:r>
      <w:r w:rsidR="005D390D" w:rsidRPr="007D1362">
        <w:rPr>
          <w:sz w:val="20"/>
        </w:rPr>
        <w:t xml:space="preserve"> Per la formazione esterna dei dipendenti sono stati spesi complessivamente € 93.957,19 di cui € 7.208,20 utilizzando finanziamenti specifici, pari all’ 8 % del totale.</w:t>
      </w:r>
    </w:p>
    <w:p w:rsidR="00273AFE" w:rsidRPr="007D1362" w:rsidRDefault="00273AFE" w:rsidP="00777CFF">
      <w:pPr>
        <w:pStyle w:val="Paragrafoelenco1"/>
        <w:spacing w:before="0"/>
        <w:ind w:left="0"/>
        <w:jc w:val="both"/>
        <w:rPr>
          <w:sz w:val="20"/>
        </w:rPr>
      </w:pPr>
      <w:r w:rsidRPr="007D1362">
        <w:rPr>
          <w:sz w:val="20"/>
        </w:rPr>
        <w:t>Nell’ambito delle attività formative interne, si segnala la revisione dei contenuti e la ripresa del corso Neoassunti orientato ad accogliere i nuovi professionisti che vengono assunti in Azienda in ogni ruolo.</w:t>
      </w:r>
    </w:p>
    <w:p w:rsidR="00E27519" w:rsidRDefault="004D3ACA">
      <w:pPr>
        <w:pStyle w:val="Paragrafoelenco1"/>
        <w:spacing w:before="0"/>
        <w:ind w:left="0"/>
        <w:jc w:val="both"/>
        <w:rPr>
          <w:sz w:val="20"/>
        </w:rPr>
      </w:pPr>
      <w:r w:rsidRPr="007D1362">
        <w:rPr>
          <w:sz w:val="20"/>
        </w:rPr>
        <w:t>Nel corso del 2017 sono state consolidate le innovazioni apportate ai sistemi di valutazione delle prestazioni dei dirigenti introdotte nel 2016: è stata prestata particolare attenzione alla comunicazione degli obiettivi in avvio di anno di valutazione e del risultato della valutazione al suo termine (luglio 2017 per il 2016) ed è stata sperimentata la correlazione tra gli obiettivi della unità organizzativa di inserimento e quelli aziendali per le figure dirigenziali con responsabilità di struttura.</w:t>
      </w:r>
      <w:r>
        <w:rPr>
          <w:sz w:val="20"/>
        </w:rPr>
        <w:t xml:space="preserve"> </w:t>
      </w:r>
    </w:p>
    <w:p w:rsidR="00E27519" w:rsidRDefault="00E27519">
      <w:pPr>
        <w:pStyle w:val="Paragrafoelenco1"/>
        <w:spacing w:before="0"/>
        <w:ind w:left="0"/>
        <w:jc w:val="both"/>
        <w:rPr>
          <w:sz w:val="20"/>
        </w:rPr>
      </w:pPr>
    </w:p>
    <w:p w:rsidR="007D1362" w:rsidRDefault="007D1362">
      <w:pPr>
        <w:suppressAutoHyphens w:val="0"/>
        <w:spacing w:before="0"/>
        <w:rPr>
          <w:rFonts w:eastAsia="Calibri"/>
          <w:sz w:val="20"/>
          <w:highlight w:val="green"/>
          <w:lang w:eastAsia="en-US"/>
        </w:rPr>
      </w:pPr>
      <w:r>
        <w:rPr>
          <w:rFonts w:eastAsia="Calibri"/>
          <w:sz w:val="20"/>
          <w:highlight w:val="green"/>
          <w:lang w:eastAsia="en-US"/>
        </w:rPr>
        <w:br w:type="page"/>
      </w:r>
    </w:p>
    <w:p w:rsidR="00E27519" w:rsidRDefault="0003178C">
      <w:pPr>
        <w:pStyle w:val="Titolo2"/>
        <w:numPr>
          <w:ilvl w:val="1"/>
          <w:numId w:val="6"/>
        </w:numPr>
      </w:pPr>
      <w:bookmarkStart w:id="28" w:name="_Ref486263221"/>
      <w:bookmarkStart w:id="29" w:name="_Ref486263226"/>
      <w:bookmarkStart w:id="30" w:name="_Ref486263234"/>
      <w:bookmarkStart w:id="31" w:name="_Ref486263245"/>
      <w:bookmarkStart w:id="32" w:name="_Toc518040065"/>
      <w:r>
        <w:lastRenderedPageBreak/>
        <w:t>5 Performance management per la creazione di valore</w:t>
      </w:r>
      <w:bookmarkEnd w:id="28"/>
      <w:bookmarkEnd w:id="29"/>
      <w:bookmarkEnd w:id="30"/>
      <w:bookmarkEnd w:id="31"/>
      <w:bookmarkEnd w:id="32"/>
    </w:p>
    <w:p w:rsidR="00E27519" w:rsidRDefault="0003178C">
      <w:pPr>
        <w:pStyle w:val="Paragrafoelenco1"/>
        <w:ind w:left="0"/>
        <w:jc w:val="both"/>
      </w:pPr>
      <w:r>
        <w:rPr>
          <w:sz w:val="20"/>
        </w:rPr>
        <w:t xml:space="preserve">Le attività intraprese dall’Azienda USL di Modena per quanto riguarda l’area del performance management riguardano lo sviluppo di strumenti in grado di indirizzare l’azienda verso il raggiungimento di risultati “value-based” per il sistema, la collettività, i professionisti, aumentando la propensione alla valorizzazione dell’esperienza dei pazienti, alla personalizzazione delle risposte e alla capacità di cogliere tempestivamente il mutamento dei bisogni della collettività. </w:t>
      </w:r>
    </w:p>
    <w:p w:rsidR="00E27519" w:rsidRDefault="00E27519">
      <w:pPr>
        <w:spacing w:before="0"/>
        <w:jc w:val="both"/>
        <w:rPr>
          <w:rFonts w:asciiTheme="minorHAnsi" w:eastAsia="Calibri" w:hAnsiTheme="minorHAnsi"/>
          <w:b/>
          <w:strike/>
          <w:sz w:val="20"/>
          <w:lang w:eastAsia="en-US"/>
        </w:rPr>
      </w:pPr>
    </w:p>
    <w:p w:rsidR="00E27519" w:rsidRDefault="0003178C">
      <w:pPr>
        <w:pStyle w:val="Titolo3Verdana"/>
        <w:rPr>
          <w:rFonts w:asciiTheme="minorHAnsi" w:eastAsia="Calibri" w:hAnsiTheme="minorHAnsi"/>
        </w:rPr>
      </w:pPr>
      <w:bookmarkStart w:id="33" w:name="_Toc518040066"/>
      <w:r>
        <w:rPr>
          <w:rFonts w:asciiTheme="minorHAnsi" w:eastAsia="Calibri" w:hAnsiTheme="minorHAnsi"/>
        </w:rPr>
        <w:t>5.1 Progetto di gestione unica AOU Policlinico di Modena – Nuovo Ospedale Civile Sant’Agostino Estense (NOCSAE)</w:t>
      </w:r>
      <w:bookmarkEnd w:id="33"/>
    </w:p>
    <w:p w:rsidR="00E27519" w:rsidRPr="007D1362" w:rsidRDefault="0003178C" w:rsidP="00EF2159">
      <w:pPr>
        <w:spacing w:before="0"/>
        <w:jc w:val="both"/>
        <w:rPr>
          <w:rFonts w:eastAsia="Calibri"/>
          <w:sz w:val="20"/>
          <w:lang w:eastAsia="en-US"/>
        </w:rPr>
      </w:pPr>
      <w:r w:rsidRPr="007D1362">
        <w:rPr>
          <w:rFonts w:eastAsia="Calibri"/>
          <w:sz w:val="20"/>
          <w:lang w:eastAsia="en-US"/>
        </w:rPr>
        <w:t>Il progetto di sperimentazione della gestione unica del NOCSAE dal parte dell’AOU Policlinico di Modena è stato avviato dalla RER su proposta della Conferenza Territoriale Sociale e Sanitaria (CTSS) della Provincia di Modena, con la DGR 2092/2015, con i seguenti obiettivi:  “evitare la crescita dell'offerta ospedaliera complessiva oltre i fabbisogni individuati dalla programmazione e la duplicazione dell'offerta stessa, realizzando coerentemente agli obiettivi della programmazione regionale la concentrazione della attività ospedaliere, ottimizzando la qualità e la sostenibilità econom</w:t>
      </w:r>
      <w:r w:rsidR="00EF2159" w:rsidRPr="007D1362">
        <w:rPr>
          <w:rFonts w:eastAsia="Calibri"/>
          <w:sz w:val="20"/>
          <w:lang w:eastAsia="en-US"/>
        </w:rPr>
        <w:t>ica dei percorsi assistenziali".</w:t>
      </w:r>
    </w:p>
    <w:p w:rsidR="002F5459" w:rsidRPr="007D1362" w:rsidRDefault="0003178C">
      <w:pPr>
        <w:spacing w:before="0"/>
        <w:jc w:val="both"/>
        <w:rPr>
          <w:rFonts w:eastAsia="Calibri"/>
          <w:sz w:val="20"/>
          <w:lang w:eastAsia="en-US"/>
        </w:rPr>
      </w:pPr>
      <w:r w:rsidRPr="007D1362">
        <w:rPr>
          <w:rFonts w:eastAsia="Calibri"/>
          <w:sz w:val="20"/>
          <w:lang w:eastAsia="en-US"/>
        </w:rPr>
        <w:t>La successiva DGR 1004/2016 del 28/6/2016 ha dettagliato il progetto, la cui redazione ha rappresentato per l’AUSL un impeg</w:t>
      </w:r>
      <w:r w:rsidR="002F5459" w:rsidRPr="007D1362">
        <w:rPr>
          <w:rFonts w:eastAsia="Calibri"/>
          <w:sz w:val="20"/>
          <w:lang w:eastAsia="en-US"/>
        </w:rPr>
        <w:t>no importante per il triennio.</w:t>
      </w:r>
    </w:p>
    <w:p w:rsidR="002F5459" w:rsidRPr="007D1362" w:rsidRDefault="002F5459" w:rsidP="002F5459">
      <w:pPr>
        <w:spacing w:before="0"/>
        <w:jc w:val="both"/>
        <w:rPr>
          <w:rFonts w:eastAsia="Calibri"/>
          <w:sz w:val="20"/>
          <w:lang w:eastAsia="en-US"/>
        </w:rPr>
      </w:pPr>
      <w:r w:rsidRPr="007D1362">
        <w:rPr>
          <w:rFonts w:eastAsia="Calibri"/>
          <w:sz w:val="20"/>
          <w:lang w:eastAsia="en-US"/>
        </w:rPr>
        <w:t>La gestione unica è stata attivata il 01/01/2017, con il trasferimento del patrimonio di tutta l'area ospedaliera di Baggiovara (Ospedale, Centro Servizi e pertinenze in generale), l'assegnazione temporanea del personale già addetto alle funzioni presenti e svolte presso l'Ospedale, il passaggio di altro personale addetto a servizi “trasversali”, il trasferimento dei contratti di fornitura dei beni e servizi utili all'attività ospedaliera.</w:t>
      </w:r>
    </w:p>
    <w:p w:rsidR="002F5459" w:rsidRPr="007D1362" w:rsidRDefault="002F5459" w:rsidP="002F5459">
      <w:pPr>
        <w:spacing w:before="0"/>
        <w:jc w:val="both"/>
        <w:rPr>
          <w:rFonts w:eastAsia="Calibri"/>
          <w:sz w:val="20"/>
          <w:lang w:eastAsia="en-US"/>
        </w:rPr>
      </w:pPr>
      <w:r w:rsidRPr="007D1362">
        <w:rPr>
          <w:rFonts w:eastAsia="Calibri"/>
          <w:sz w:val="20"/>
          <w:lang w:eastAsia="en-US"/>
        </w:rPr>
        <w:t>La definizione del personale e delle unità organizzative oggetto dell'assegnazione temporanea all'AOU dal 1/1/2017 (Delibera 308/2016 "Assegnazione temporanea all’Azienda Ospedaliero-Universitaria di Modena del personale dell’Azienda USL assegnato al NOCSAE di Baggiovara ai sensi della DGR n. 1004 del 28.06.2016" e Delibera 5/2017 "Gestione unica tra Nuovo Ospedale Civile Sant’Agostino Estense (NOCSAE) e Policlinico di Modena”. L'assegnazione temporanea del personale, prevista dalla LR n.43/2001, prevede il mantenimento del rapporto giuridico del personale con l'Azienda USL, mentre il rapporto funzionale e gerarchico è posto in capo all'AOU, in virtù del potere datoriale attribuito al Direttore Generale della stessa.</w:t>
      </w:r>
    </w:p>
    <w:p w:rsidR="004C6B20" w:rsidRPr="007D1362" w:rsidRDefault="004C6B20" w:rsidP="004C6B20">
      <w:pPr>
        <w:spacing w:before="0"/>
        <w:jc w:val="center"/>
        <w:rPr>
          <w:rFonts w:eastAsia="Calibri"/>
          <w:sz w:val="20"/>
          <w:lang w:eastAsia="en-US"/>
        </w:rPr>
      </w:pPr>
      <w:r w:rsidRPr="007D1362">
        <w:rPr>
          <w:noProof/>
          <w:lang w:eastAsia="it-IT" w:bidi="ar-SA"/>
        </w:rPr>
        <w:drawing>
          <wp:inline distT="0" distB="0" distL="0" distR="0" wp14:anchorId="7C640632" wp14:editId="596E0A5C">
            <wp:extent cx="4572000" cy="2743200"/>
            <wp:effectExtent l="0" t="0" r="0" b="0"/>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C6B20" w:rsidRPr="007D1362" w:rsidRDefault="004C6B20" w:rsidP="002F5459">
      <w:pPr>
        <w:spacing w:before="0"/>
        <w:jc w:val="both"/>
        <w:rPr>
          <w:rFonts w:eastAsia="Calibri"/>
          <w:sz w:val="20"/>
          <w:lang w:eastAsia="en-US"/>
        </w:rPr>
      </w:pPr>
    </w:p>
    <w:p w:rsidR="004C6B20" w:rsidRPr="007D1362" w:rsidRDefault="004C6B20" w:rsidP="002F5459">
      <w:pPr>
        <w:spacing w:before="0"/>
        <w:jc w:val="both"/>
        <w:rPr>
          <w:rFonts w:eastAsia="Calibri"/>
          <w:sz w:val="20"/>
          <w:lang w:eastAsia="en-US"/>
        </w:rPr>
      </w:pPr>
      <w:r w:rsidRPr="007D1362">
        <w:rPr>
          <w:rFonts w:eastAsia="Calibri"/>
          <w:sz w:val="20"/>
          <w:lang w:eastAsia="en-US"/>
        </w:rPr>
        <w:lastRenderedPageBreak/>
        <w:t>Il personale in assegnazione temporanea ha un valore complessivo di € 60.008.528 per gli emolumenti del personale di riferimento corrisposti dall’Azienda USL di Modena, in virtù del permanere del rapporto giuridico, rimborsati dalla AOU Policlinico di Modena.</w:t>
      </w:r>
    </w:p>
    <w:p w:rsidR="002F5459" w:rsidRPr="007D1362" w:rsidRDefault="002F5459" w:rsidP="002F5459">
      <w:pPr>
        <w:spacing w:before="0"/>
        <w:jc w:val="both"/>
        <w:rPr>
          <w:rFonts w:eastAsia="Calibri"/>
          <w:sz w:val="20"/>
          <w:lang w:eastAsia="en-US"/>
        </w:rPr>
      </w:pPr>
      <w:r w:rsidRPr="007D1362">
        <w:rPr>
          <w:rFonts w:eastAsia="Calibri"/>
          <w:sz w:val="20"/>
          <w:lang w:eastAsia="en-US"/>
        </w:rPr>
        <w:t xml:space="preserve">A questo personale si sono aggiunte </w:t>
      </w:r>
      <w:r w:rsidR="00D33AA8" w:rsidRPr="007D1362">
        <w:rPr>
          <w:rFonts w:eastAsia="Calibri"/>
          <w:sz w:val="20"/>
          <w:lang w:eastAsia="en-US"/>
        </w:rPr>
        <w:t xml:space="preserve">ulteriori </w:t>
      </w:r>
      <w:r w:rsidRPr="007D1362">
        <w:rPr>
          <w:rFonts w:eastAsia="Calibri"/>
          <w:sz w:val="20"/>
          <w:lang w:eastAsia="en-US"/>
        </w:rPr>
        <w:t xml:space="preserve">unità </w:t>
      </w:r>
      <w:r w:rsidR="00D33AA8" w:rsidRPr="007D1362">
        <w:rPr>
          <w:rFonts w:eastAsia="Calibri"/>
          <w:sz w:val="20"/>
          <w:lang w:eastAsia="en-US"/>
        </w:rPr>
        <w:t xml:space="preserve">appartenenti </w:t>
      </w:r>
      <w:r w:rsidRPr="007D1362">
        <w:rPr>
          <w:rFonts w:eastAsia="Calibri"/>
          <w:sz w:val="20"/>
          <w:lang w:eastAsia="en-US"/>
        </w:rPr>
        <w:t xml:space="preserve">servizi </w:t>
      </w:r>
      <w:r w:rsidR="00D33AA8" w:rsidRPr="007D1362">
        <w:rPr>
          <w:rFonts w:eastAsia="Calibri"/>
          <w:sz w:val="20"/>
          <w:lang w:eastAsia="en-US"/>
        </w:rPr>
        <w:t>di staff</w:t>
      </w:r>
      <w:r w:rsidRPr="007D1362">
        <w:rPr>
          <w:rFonts w:eastAsia="Calibri"/>
          <w:sz w:val="20"/>
          <w:lang w:eastAsia="en-US"/>
        </w:rPr>
        <w:t xml:space="preserve">, al netto del personale già assegnato ai Servizi unificati (Acquisti e logistica; Amministrazione del personale; Ingegneria Clinica e tecnico Patrimoniale) che provvedono alle esigenze di entrambe le Aziende, senza diverse attribuzioni per il minor carico di lavoro in capo alla AUSL ed il maggior carico in capo ad AOU. </w:t>
      </w:r>
    </w:p>
    <w:p w:rsidR="00BF4B48" w:rsidRDefault="00BF4B48" w:rsidP="00E864A8">
      <w:pPr>
        <w:spacing w:before="0"/>
        <w:jc w:val="both"/>
        <w:rPr>
          <w:rFonts w:eastAsia="Calibri"/>
          <w:sz w:val="20"/>
          <w:lang w:eastAsia="en-US"/>
        </w:rPr>
      </w:pPr>
      <w:r w:rsidRPr="007D1362">
        <w:rPr>
          <w:rFonts w:eastAsia="Calibri"/>
          <w:sz w:val="20"/>
          <w:lang w:eastAsia="en-US"/>
        </w:rPr>
        <w:t>Nelle more del progetto di sperimentazione gestionale, è stato rivisto il contratto di fornitura con l’AOU, in quanto i</w:t>
      </w:r>
      <w:r w:rsidR="002F5459" w:rsidRPr="007D1362">
        <w:rPr>
          <w:rFonts w:eastAsia="Calibri"/>
          <w:sz w:val="20"/>
          <w:lang w:eastAsia="en-US"/>
        </w:rPr>
        <w:t xml:space="preserve"> </w:t>
      </w:r>
      <w:r w:rsidRPr="007D1362">
        <w:rPr>
          <w:rFonts w:eastAsia="Calibri"/>
          <w:sz w:val="20"/>
          <w:lang w:eastAsia="en-US"/>
        </w:rPr>
        <w:t xml:space="preserve">precedenti </w:t>
      </w:r>
      <w:r w:rsidR="002F5459" w:rsidRPr="007D1362">
        <w:rPr>
          <w:rFonts w:eastAsia="Calibri"/>
          <w:sz w:val="20"/>
          <w:lang w:eastAsia="en-US"/>
        </w:rPr>
        <w:t>contratti di beni e servizi</w:t>
      </w:r>
      <w:r w:rsidRPr="007D1362">
        <w:rPr>
          <w:rFonts w:eastAsia="Calibri"/>
          <w:sz w:val="20"/>
          <w:lang w:eastAsia="en-US"/>
        </w:rPr>
        <w:t xml:space="preserve"> di </w:t>
      </w:r>
      <w:r w:rsidR="002F5459" w:rsidRPr="007D1362">
        <w:rPr>
          <w:rFonts w:eastAsia="Calibri"/>
          <w:sz w:val="20"/>
          <w:lang w:eastAsia="en-US"/>
        </w:rPr>
        <w:t xml:space="preserve">pertinenza dell'ospedale di Baggiovara, sono stati trasferiti ad AOU; </w:t>
      </w:r>
      <w:r w:rsidR="00E864A8" w:rsidRPr="007D1362">
        <w:rPr>
          <w:rFonts w:eastAsia="Calibri"/>
          <w:sz w:val="20"/>
          <w:lang w:eastAsia="en-US"/>
        </w:rPr>
        <w:t>Il livello di produzione sia della degenza che dell'area ambulatoriale sono state definite sulla base della valorizzazione dell'attività erogata nel 2016 presso l'ospedale. La ripartizione del FSR operata dalla RER ha incrementato il contributo destinato alla AOU di Modena, a valere sul finanziamento a quota capitaria della AUSL di Modena, per un valore complessivo di € 12.020.890.</w:t>
      </w:r>
    </w:p>
    <w:p w:rsidR="00E864A8" w:rsidRDefault="00C61862" w:rsidP="00C61862">
      <w:pPr>
        <w:spacing w:before="0"/>
        <w:jc w:val="center"/>
        <w:rPr>
          <w:rFonts w:eastAsia="Calibri"/>
          <w:sz w:val="20"/>
          <w:lang w:eastAsia="en-US"/>
        </w:rPr>
      </w:pPr>
      <w:r>
        <w:rPr>
          <w:noProof/>
          <w:lang w:eastAsia="it-IT" w:bidi="ar-SA"/>
        </w:rPr>
        <w:drawing>
          <wp:inline distT="0" distB="0" distL="0" distR="0" wp14:anchorId="2B75F7E7" wp14:editId="5AE17316">
            <wp:extent cx="4572000" cy="2743200"/>
            <wp:effectExtent l="0" t="0" r="0" b="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27519" w:rsidRDefault="00E27519">
      <w:pPr>
        <w:spacing w:before="0"/>
        <w:jc w:val="both"/>
        <w:rPr>
          <w:rFonts w:asciiTheme="minorHAnsi" w:eastAsia="Calibri" w:hAnsiTheme="minorHAnsi"/>
          <w:sz w:val="20"/>
          <w:lang w:eastAsia="en-US"/>
        </w:rPr>
      </w:pPr>
    </w:p>
    <w:p w:rsidR="005B5BBF" w:rsidRPr="005B5BBF" w:rsidRDefault="00FC151C" w:rsidP="005B5BBF">
      <w:pPr>
        <w:pStyle w:val="Titolo3Verdana"/>
        <w:rPr>
          <w:rFonts w:asciiTheme="minorHAnsi" w:eastAsia="Calibri" w:hAnsiTheme="minorHAnsi"/>
          <w:lang w:val="it-IT"/>
        </w:rPr>
      </w:pPr>
      <w:bookmarkStart w:id="34" w:name="_Toc518040067"/>
      <w:r>
        <w:rPr>
          <w:rFonts w:asciiTheme="minorHAnsi" w:eastAsia="Calibri" w:hAnsiTheme="minorHAnsi"/>
          <w:lang w:val="it-IT"/>
        </w:rPr>
        <w:t xml:space="preserve">5.2 </w:t>
      </w:r>
      <w:r w:rsidR="005B5BBF" w:rsidRPr="007D1362">
        <w:rPr>
          <w:rFonts w:asciiTheme="minorHAnsi" w:eastAsia="Calibri" w:hAnsiTheme="minorHAnsi"/>
        </w:rPr>
        <w:t>Il Piano di riordino della rete dei Servizi</w:t>
      </w:r>
      <w:r w:rsidR="005B5BBF" w:rsidRPr="007D1362">
        <w:rPr>
          <w:rFonts w:asciiTheme="minorHAnsi" w:eastAsia="Calibri" w:hAnsiTheme="minorHAnsi"/>
          <w:lang w:val="it-IT"/>
        </w:rPr>
        <w:t>: Delibera CTSS 6 giugno 2017</w:t>
      </w:r>
      <w:bookmarkEnd w:id="34"/>
    </w:p>
    <w:p w:rsidR="005B5BBF" w:rsidRDefault="005B5BBF" w:rsidP="005B5BBF">
      <w:pPr>
        <w:pStyle w:val="Standard"/>
        <w:rPr>
          <w:color w:val="000000"/>
          <w:sz w:val="20"/>
        </w:rPr>
      </w:pPr>
      <w:r w:rsidRPr="00EC7BB1">
        <w:rPr>
          <w:color w:val="000000"/>
          <w:sz w:val="20"/>
        </w:rPr>
        <w:t>La CTSS provinciale</w:t>
      </w:r>
      <w:r>
        <w:rPr>
          <w:color w:val="000000"/>
          <w:sz w:val="20"/>
        </w:rPr>
        <w:t>,</w:t>
      </w:r>
      <w:r w:rsidRPr="00EC7BB1">
        <w:rPr>
          <w:color w:val="000000"/>
          <w:sz w:val="20"/>
        </w:rPr>
        <w:t xml:space="preserve"> in data 6 giugno 2017</w:t>
      </w:r>
      <w:r>
        <w:rPr>
          <w:color w:val="000000"/>
          <w:sz w:val="20"/>
        </w:rPr>
        <w:t>,</w:t>
      </w:r>
      <w:r w:rsidRPr="00EC7BB1">
        <w:rPr>
          <w:color w:val="000000"/>
          <w:sz w:val="20"/>
        </w:rPr>
        <w:t xml:space="preserve"> ha approvato (</w:t>
      </w:r>
      <w:r>
        <w:rPr>
          <w:color w:val="000000"/>
          <w:sz w:val="20"/>
        </w:rPr>
        <w:t>D</w:t>
      </w:r>
      <w:r w:rsidRPr="00EC7BB1">
        <w:rPr>
          <w:color w:val="000000"/>
          <w:sz w:val="20"/>
        </w:rPr>
        <w:t xml:space="preserve">elibera </w:t>
      </w:r>
      <w:r>
        <w:rPr>
          <w:color w:val="000000"/>
          <w:sz w:val="20"/>
        </w:rPr>
        <w:t>n.</w:t>
      </w:r>
      <w:r w:rsidRPr="00EC7BB1">
        <w:rPr>
          <w:color w:val="000000"/>
          <w:sz w:val="20"/>
        </w:rPr>
        <w:t xml:space="preserve">5/2017) il Piano di riordino della rete dei servizi provinciali, in primis ospedalieri, presentato dall’Azienda USL. Il Piano ha previsto alcune aree di intervento, articolate per area territoriale sulla quale innestare </w:t>
      </w:r>
      <w:r>
        <w:rPr>
          <w:color w:val="000000"/>
          <w:sz w:val="20"/>
        </w:rPr>
        <w:t>alcuni</w:t>
      </w:r>
      <w:r w:rsidRPr="00EC7BB1">
        <w:rPr>
          <w:color w:val="000000"/>
          <w:sz w:val="20"/>
        </w:rPr>
        <w:t xml:space="preserve"> progetti di riqualificazione, concentrazione dell’attività, revisione del ruolo nella rete. Nella tabella seguente sono sintetizzate le aree di intervento approvate.</w:t>
      </w:r>
    </w:p>
    <w:p w:rsidR="005B5BBF" w:rsidRPr="000E5E73" w:rsidRDefault="005B5BBF" w:rsidP="005B5BBF">
      <w:pPr>
        <w:suppressAutoHyphens w:val="0"/>
        <w:rPr>
          <w:rFonts w:eastAsia="Calibri" w:cs="Times New Roman"/>
          <w:noProof/>
          <w:szCs w:val="22"/>
          <w:lang w:eastAsia="it-IT" w:bidi="ar-SA"/>
        </w:rPr>
      </w:pPr>
      <w:r w:rsidRPr="00C260FD">
        <w:rPr>
          <w:noProof/>
          <w:lang w:eastAsia="it-IT" w:bidi="ar-SA"/>
        </w:rPr>
        <w:lastRenderedPageBreak/>
        <w:drawing>
          <wp:inline distT="0" distB="0" distL="0" distR="0">
            <wp:extent cx="6096000" cy="32956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3295650"/>
                    </a:xfrm>
                    <a:prstGeom prst="rect">
                      <a:avLst/>
                    </a:prstGeom>
                    <a:noFill/>
                    <a:ln>
                      <a:noFill/>
                    </a:ln>
                  </pic:spPr>
                </pic:pic>
              </a:graphicData>
            </a:graphic>
          </wp:inline>
        </w:drawing>
      </w:r>
    </w:p>
    <w:p w:rsidR="005B5BBF" w:rsidRDefault="005B5BBF" w:rsidP="005B5BBF">
      <w:pPr>
        <w:pStyle w:val="Standard"/>
        <w:rPr>
          <w:color w:val="000000"/>
          <w:sz w:val="20"/>
        </w:rPr>
      </w:pPr>
      <w:r w:rsidRPr="00F47833">
        <w:rPr>
          <w:color w:val="000000"/>
          <w:sz w:val="20"/>
        </w:rPr>
        <w:t>A seguito dell’approvazione del Piano, l’Azienda ha formalizzato 5 aree progettuali, indicando risultati attesi, finali e intermedi, di realizzazione progressiva</w:t>
      </w:r>
      <w:r>
        <w:rPr>
          <w:color w:val="000000"/>
          <w:sz w:val="20"/>
        </w:rPr>
        <w:t xml:space="preserve"> a partire </w:t>
      </w:r>
      <w:r w:rsidRPr="00F47833">
        <w:rPr>
          <w:color w:val="000000"/>
          <w:sz w:val="20"/>
        </w:rPr>
        <w:t>da settembre 2017 ai primi mesi del 2020, rappresentate nella tabella seguente.</w:t>
      </w:r>
    </w:p>
    <w:p w:rsidR="005B5BBF" w:rsidRDefault="005B5BBF" w:rsidP="005B5BBF">
      <w:pPr>
        <w:pStyle w:val="Standard"/>
        <w:rPr>
          <w:color w:val="000000"/>
          <w:sz w:val="20"/>
        </w:rPr>
      </w:pPr>
      <w:r w:rsidRPr="00C260FD">
        <w:rPr>
          <w:noProof/>
          <w:lang w:eastAsia="it-IT"/>
        </w:rPr>
        <w:drawing>
          <wp:inline distT="0" distB="0" distL="0" distR="0">
            <wp:extent cx="6096000" cy="305752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3057525"/>
                    </a:xfrm>
                    <a:prstGeom prst="rect">
                      <a:avLst/>
                    </a:prstGeom>
                    <a:noFill/>
                    <a:ln>
                      <a:noFill/>
                    </a:ln>
                  </pic:spPr>
                </pic:pic>
              </a:graphicData>
            </a:graphic>
          </wp:inline>
        </w:drawing>
      </w:r>
    </w:p>
    <w:p w:rsidR="005B5BBF" w:rsidRPr="000D5C96" w:rsidRDefault="005B5BBF" w:rsidP="005B5BBF">
      <w:pPr>
        <w:pStyle w:val="Standard"/>
        <w:rPr>
          <w:color w:val="000000"/>
          <w:sz w:val="20"/>
        </w:rPr>
      </w:pPr>
      <w:r w:rsidRPr="000D5C96">
        <w:rPr>
          <w:color w:val="000000"/>
          <w:sz w:val="20"/>
        </w:rPr>
        <w:t>Di seguito i primi risultati raggiunti con la fine del 2017 dei progetti avviati:</w:t>
      </w:r>
    </w:p>
    <w:p w:rsidR="005B5BBF" w:rsidRDefault="005B5BBF" w:rsidP="005B5BBF">
      <w:pPr>
        <w:pStyle w:val="Standard"/>
        <w:rPr>
          <w:color w:val="000000"/>
          <w:sz w:val="20"/>
        </w:rPr>
      </w:pPr>
      <w:r w:rsidRPr="000D5C96">
        <w:rPr>
          <w:color w:val="000000"/>
          <w:sz w:val="20"/>
          <w:u w:val="single"/>
        </w:rPr>
        <w:t>Progetto Riqualificazione Ospedale di Pavullo</w:t>
      </w:r>
      <w:r w:rsidRPr="000D5C96">
        <w:rPr>
          <w:color w:val="000000"/>
          <w:sz w:val="20"/>
        </w:rPr>
        <w:t xml:space="preserve">: rilancio attività chirurgica programmata a medio-bassa intensità attraverso una collaborazione con l’Ospedale di Sassuolo e i suoi chirurghi che affiancano l’equipe in ulteriori sedute chirurgiche; l’attività è iniziata a dicembre 2017 con sedute di chirurgia ambulatoriale (ernie) e in ricovero ordinario (35 interventi nel 2017); sull’Emergenza Urgenza è stato potenziato il servizio con un’automedica dall’estate 2017, realizzata la superficie di elisoccorso anche notturno, l’inserimento di 6 infermieri e di medici (radiologo, ortopedico e la ricerca di un anestesista), realizzato l’ampliamento della sala d’attesa del PS; con un finanziamento regionale di 5,4 milioni di euro (DGR 1622/2017) e </w:t>
      </w:r>
      <w:r w:rsidRPr="000D5C96">
        <w:rPr>
          <w:color w:val="000000"/>
          <w:sz w:val="20"/>
        </w:rPr>
        <w:lastRenderedPageBreak/>
        <w:t xml:space="preserve">400.000€ di fonte aziendale sono stati previsti ed avviati anche interventi edilizi: la ristrutturazione delle aree esterne al Pronto Soccorso, la ristrutturazione del Pronto Soccorso stesso (la gara è stata tenuta ad inizio 2018), la ristrutturazione delle sale operatorie. E’ stato potenziato il percorso nascita nelle fasi pre e post parto con la sospensione dell’attività del punto nascita da inizio ottobre 2017 (delibera 291 del 12/10/2017): è stata potenziata l’accoglienza pre parto e avviato un nuovo servizio domiciliare di successiva assistenza al puerperio, </w:t>
      </w:r>
      <w:r>
        <w:rPr>
          <w:color w:val="000000"/>
          <w:sz w:val="20"/>
        </w:rPr>
        <w:t xml:space="preserve">sono state </w:t>
      </w:r>
      <w:r w:rsidRPr="000D5C96">
        <w:rPr>
          <w:color w:val="000000"/>
          <w:sz w:val="20"/>
        </w:rPr>
        <w:t>messe a disposizione due residenze vicino ai punti nascita di Sassuolo e del Policlinico</w:t>
      </w:r>
      <w:r>
        <w:rPr>
          <w:color w:val="000000"/>
          <w:sz w:val="20"/>
        </w:rPr>
        <w:t xml:space="preserve"> per i familiari</w:t>
      </w:r>
      <w:r w:rsidRPr="000D5C96">
        <w:rPr>
          <w:color w:val="000000"/>
          <w:sz w:val="20"/>
        </w:rPr>
        <w:t xml:space="preserve">, </w:t>
      </w:r>
      <w:r>
        <w:rPr>
          <w:color w:val="000000"/>
          <w:sz w:val="20"/>
        </w:rPr>
        <w:t xml:space="preserve">è stata </w:t>
      </w:r>
      <w:r w:rsidRPr="000D5C96">
        <w:rPr>
          <w:color w:val="000000"/>
          <w:sz w:val="20"/>
        </w:rPr>
        <w:t>potenziata l’offerta ginecologica.</w:t>
      </w:r>
    </w:p>
    <w:p w:rsidR="005B5BBF" w:rsidRPr="000D5C96" w:rsidRDefault="005B5BBF" w:rsidP="005B5BBF">
      <w:pPr>
        <w:pStyle w:val="Standard"/>
        <w:rPr>
          <w:color w:val="000000"/>
          <w:sz w:val="20"/>
        </w:rPr>
      </w:pPr>
      <w:r w:rsidRPr="000D5C96">
        <w:rPr>
          <w:color w:val="000000"/>
          <w:sz w:val="20"/>
          <w:u w:val="single"/>
        </w:rPr>
        <w:t>Progetto Riqualificazione Ospedale di Vignola</w:t>
      </w:r>
      <w:r w:rsidRPr="000D5C96">
        <w:rPr>
          <w:color w:val="000000"/>
          <w:sz w:val="20"/>
        </w:rPr>
        <w:t>: è stata potenziata l’attività di chirurgia generale da settembre 2017 con attività chirurgica programmata a medio-bassa intensità, attraverso una collaborazione con l’Ospedale di Sassuolo (ambulatoriale e ricovero), con 107 interventi nel 2017 realizzati nelle 2 sedute settimanali per interventi di ernioplastica inguinale anteriore in regime ambulatoriale complesso; è stata attivata l’automedica a settembre 2017. E’ stata acquisita la responsabilità e la gestione dell’attività del Day Service Oncologico di Sassuolo (delibera 320 del 13/11/2017); sono stati dedicati intanto 4 PL alla Medicina d’Urgenza per potenziare il percorso emergenza – urgenza; sono state avviate anche ole altre attività previste con risultati attesi dal 2018.</w:t>
      </w:r>
    </w:p>
    <w:p w:rsidR="005B5BBF" w:rsidRDefault="005B5BBF" w:rsidP="005B5BBF">
      <w:pPr>
        <w:pStyle w:val="Standard"/>
        <w:rPr>
          <w:color w:val="000000"/>
          <w:sz w:val="20"/>
        </w:rPr>
      </w:pPr>
      <w:r w:rsidRPr="000D5C96">
        <w:rPr>
          <w:color w:val="000000"/>
          <w:sz w:val="20"/>
          <w:u w:val="single"/>
        </w:rPr>
        <w:t>Progetto Area Nord</w:t>
      </w:r>
      <w:r w:rsidRPr="000D5C96">
        <w:rPr>
          <w:color w:val="000000"/>
          <w:sz w:val="20"/>
        </w:rPr>
        <w:t>: a seguito della deroga all’attività del Punto Nascita di Mirandola sono state avviate varie iniziative di potenziamento dei collegamenti con i Consultori distrettuali, dell’attività e dell’accoglienza del Punto Nascita, con la formalizzazione della relativa responsabilità medica; è stato progettato (e avviato nei primi mesi del 2018) il Percorso di presa in carico multidisciplinare per la diagnosi e il trattamento delle apnee notturne OSAS (a valenza provinciale); sono state avviate le attività sulla logistica e la riorganizzazione dell'area omogenea del blocco operatorio a Mirandola e Carpi, la progettazione dell’allocazione delle attività senza duplicazioni in base alla vocazione dei 2 stabilimenti di Carpi e Mirandola; è stata avviata da febbraio 2017 la sperimentazione dell’attività integrata SPDC e RTI presso l’Ospedale di Carpi, in una sede temporanea nell’Ospedale, che durerà complessivamente 24 mesi; è stato effettuato il passaggio di un cardiologo dell’UO di Carpi  (spec. cardiologo e medico dello sport) presso il servizio di Medicina dello Sport territoriale (con sede preferenziale a Carpi) in un’ottica di integrazione fra ospedale e territorio e in vista dell’offerta di medicina sportiva cardiologica avviata a Carpi da gennaio 2018.</w:t>
      </w:r>
    </w:p>
    <w:p w:rsidR="005B5BBF" w:rsidRDefault="005B5BBF" w:rsidP="005B5BBF">
      <w:pPr>
        <w:pStyle w:val="Standard"/>
        <w:rPr>
          <w:color w:val="000000"/>
          <w:sz w:val="20"/>
        </w:rPr>
      </w:pPr>
      <w:r w:rsidRPr="000D5C96">
        <w:rPr>
          <w:color w:val="000000"/>
          <w:sz w:val="20"/>
          <w:u w:val="single"/>
        </w:rPr>
        <w:t>Rete attività territoriali</w:t>
      </w:r>
      <w:r w:rsidRPr="000D5C96">
        <w:rPr>
          <w:color w:val="000000"/>
          <w:sz w:val="20"/>
        </w:rPr>
        <w:t>: il progetto di potenziamento nel 2017 si è avviato con un’analisi dell’offerta di servizi nelle 11 CdS attive nel territorio e una progettazione della situazione a tendere, con la nomina dei responsabili organizzativi delle Case della Salute, la continuazione dell’attività dei due OSCO attivi in Azienda, con l’apertura di ambulatori infermieristici in territori sprovvisti di CdS (Formigine), con la prosecuzione delle attività di progettazione o di avvio dei lavori per le CdS in costruzione (rispettivamente CdS Carpi e CdS Modena Nord).</w:t>
      </w:r>
    </w:p>
    <w:p w:rsidR="005B5BBF" w:rsidRPr="000D5C96" w:rsidRDefault="005B5BBF" w:rsidP="005B5BBF">
      <w:pPr>
        <w:pStyle w:val="Standard"/>
        <w:rPr>
          <w:color w:val="000000"/>
          <w:sz w:val="20"/>
        </w:rPr>
      </w:pPr>
      <w:r w:rsidRPr="000D5C96">
        <w:rPr>
          <w:color w:val="000000"/>
          <w:sz w:val="20"/>
          <w:u w:val="single"/>
        </w:rPr>
        <w:t>Laboratorio</w:t>
      </w:r>
      <w:r w:rsidRPr="000D5C96">
        <w:rPr>
          <w:color w:val="000000"/>
          <w:sz w:val="20"/>
        </w:rPr>
        <w:t>: questo progetto prevede la implementazione del nuovo laboratorio BLU c/o OCSAE, progetto molto rilevante per la sua complessità ed entità e pertanto inserito nel contesto del progetto di riqualificazione della rete dei servizi provinciali; nel corso del 2017 si è conclusa la gara per i lavori che saranno concretamente avviati nel 2018; accanto a questa linea progettuale, si è inserita anche un’attività di realizzazione di attività diagnostiche decentrate che consentiranno di effettuare test diagnostici a domicilio o nelle CdS o in altri luoghi di contatto e di ottenere l’esito in tempo reale, consentendo una tempestività nell’erogazione della terapia e un avvicinamento del servizio all’utente. L’attività è stata pianificata nel 2017 ed è stata prevista una sperimentazione nella PoCT di Castelfranco Emilia che avverrà dal 2018.</w:t>
      </w:r>
    </w:p>
    <w:p w:rsidR="00E27519" w:rsidRDefault="00E27519">
      <w:pPr>
        <w:spacing w:before="0"/>
        <w:jc w:val="both"/>
        <w:rPr>
          <w:rFonts w:asciiTheme="minorHAnsi" w:eastAsia="Calibri" w:hAnsiTheme="minorHAnsi"/>
          <w:sz w:val="20"/>
          <w:lang w:eastAsia="en-US"/>
        </w:rPr>
      </w:pPr>
    </w:p>
    <w:p w:rsidR="00E27519" w:rsidRDefault="00FC151C">
      <w:pPr>
        <w:pStyle w:val="Titolo3Verdana"/>
        <w:rPr>
          <w:rFonts w:asciiTheme="minorHAnsi" w:eastAsia="Calibri" w:hAnsiTheme="minorHAnsi"/>
        </w:rPr>
      </w:pPr>
      <w:bookmarkStart w:id="35" w:name="_Toc518040068"/>
      <w:r>
        <w:rPr>
          <w:rFonts w:asciiTheme="minorHAnsi" w:eastAsia="Calibri" w:hAnsiTheme="minorHAnsi"/>
        </w:rPr>
        <w:t>5.3</w:t>
      </w:r>
      <w:r w:rsidR="0003178C">
        <w:rPr>
          <w:rFonts w:asciiTheme="minorHAnsi" w:eastAsia="Calibri" w:hAnsiTheme="minorHAnsi"/>
        </w:rPr>
        <w:t xml:space="preserve"> Governance ed appropriatezza d’uso dei farmaci</w:t>
      </w:r>
      <w:bookmarkEnd w:id="35"/>
    </w:p>
    <w:p w:rsidR="00444BF2" w:rsidRPr="007D1362" w:rsidRDefault="0003178C">
      <w:pPr>
        <w:jc w:val="both"/>
        <w:rPr>
          <w:rFonts w:eastAsia="Calibri"/>
          <w:sz w:val="20"/>
          <w:lang w:eastAsia="en-US"/>
        </w:rPr>
      </w:pPr>
      <w:r w:rsidRPr="007D1362">
        <w:rPr>
          <w:rFonts w:eastAsia="Calibri"/>
          <w:sz w:val="20"/>
          <w:lang w:eastAsia="en-US"/>
        </w:rPr>
        <w:t>Per quanto concerne la farm</w:t>
      </w:r>
      <w:r w:rsidR="00F2515A" w:rsidRPr="007D1362">
        <w:rPr>
          <w:rFonts w:eastAsia="Calibri"/>
          <w:sz w:val="20"/>
          <w:lang w:eastAsia="en-US"/>
        </w:rPr>
        <w:t>aceutica convenzionata, nel 2017</w:t>
      </w:r>
      <w:r w:rsidRPr="007D1362">
        <w:rPr>
          <w:rFonts w:eastAsia="Calibri"/>
          <w:sz w:val="20"/>
          <w:lang w:eastAsia="en-US"/>
        </w:rPr>
        <w:t xml:space="preserve">, c'è stata una riduzione </w:t>
      </w:r>
      <w:r w:rsidR="00F2515A" w:rsidRPr="007D1362">
        <w:rPr>
          <w:rFonts w:eastAsia="Calibri"/>
          <w:sz w:val="20"/>
          <w:lang w:eastAsia="en-US"/>
        </w:rPr>
        <w:t>del -2,5% (74.914.809 € vs 77.036.476 € del 2016), che corrisponde a -2.121.668 € rispetto al 2016</w:t>
      </w:r>
      <w:r w:rsidRPr="007D1362">
        <w:rPr>
          <w:rFonts w:eastAsia="Calibri"/>
          <w:sz w:val="20"/>
          <w:lang w:eastAsia="en-US"/>
        </w:rPr>
        <w:t xml:space="preserve">. </w:t>
      </w:r>
      <w:r w:rsidR="00F2515A" w:rsidRPr="007D1362">
        <w:rPr>
          <w:rFonts w:eastAsia="Calibri"/>
          <w:sz w:val="20"/>
          <w:lang w:eastAsia="en-US"/>
        </w:rPr>
        <w:t>L’Azienda USL di Modena sta procedendo ad organizzare degli incontri mirati in tema di “Appropriatezza prescrittiva e buon uso del farmaco” su PPI, Vitamina D, Farmaci Cardiovascolari, Antibiotici, tramite attivazione gruppi di lavoro con Specialisti e MMG (7 gruppi tecnici).</w:t>
      </w:r>
      <w:r w:rsidR="002240C5" w:rsidRPr="007D1362">
        <w:rPr>
          <w:rFonts w:eastAsia="Calibri"/>
          <w:sz w:val="20"/>
          <w:lang w:eastAsia="en-US"/>
        </w:rPr>
        <w:t xml:space="preserve"> </w:t>
      </w:r>
    </w:p>
    <w:p w:rsidR="00444BF2" w:rsidRPr="007D1362" w:rsidRDefault="00444BF2">
      <w:pPr>
        <w:jc w:val="both"/>
        <w:rPr>
          <w:rFonts w:eastAsia="Calibri"/>
          <w:sz w:val="20"/>
          <w:lang w:eastAsia="en-US"/>
        </w:rPr>
      </w:pPr>
      <w:r w:rsidRPr="007D1362">
        <w:rPr>
          <w:rFonts w:eastAsia="Calibri"/>
          <w:sz w:val="20"/>
          <w:lang w:eastAsia="en-US"/>
        </w:rPr>
        <w:t xml:space="preserve">In aumento la spesa per acquisto H dei farmaci (escluso HCV e Innovativi) non superiore al + 5,9% (135.636.800€) nell'area Modena (si considera l'area Modena, tenuto conto delle modifiche organizzative dell'area, con l'unificazione Policlinico-OCSAE); a fine 2017 l'obiettivo è stato modificato per aumento dei finanziamento vaccini: </w:t>
      </w:r>
      <w:r w:rsidR="00CA12A2" w:rsidRPr="007D1362">
        <w:rPr>
          <w:rFonts w:eastAsia="Calibri"/>
          <w:sz w:val="20"/>
          <w:lang w:eastAsia="en-US"/>
        </w:rPr>
        <w:t>138.336.770 €</w:t>
      </w:r>
      <w:r w:rsidRPr="007D1362">
        <w:rPr>
          <w:rFonts w:eastAsia="Calibri"/>
          <w:sz w:val="20"/>
          <w:lang w:eastAsia="en-US"/>
        </w:rPr>
        <w:t xml:space="preserve"> (+8,1%). </w:t>
      </w:r>
      <w:r w:rsidR="00CA12A2" w:rsidRPr="007D1362">
        <w:rPr>
          <w:rFonts w:eastAsia="Calibri"/>
          <w:sz w:val="20"/>
          <w:lang w:eastAsia="en-US"/>
        </w:rPr>
        <w:t xml:space="preserve">Sono stati </w:t>
      </w:r>
      <w:r w:rsidR="00CA12A2" w:rsidRPr="007D1362">
        <w:rPr>
          <w:rFonts w:eastAsia="Calibri"/>
          <w:sz w:val="20"/>
          <w:lang w:eastAsia="en-US"/>
        </w:rPr>
        <w:lastRenderedPageBreak/>
        <w:t>istituiti dei gruppi di lavoro provinciali con gli Specialisti per gruppi di farmaci ad alto costo (Oncologici, Farmaci Sclerosi Multipla, NAO, HIV e HCV, Biologici in reumatologia, dermatologia e gastroenterologia, farmaci oculistici per degenerazione maculare), con programmazione di tetti di spesa. Sono state avviate delle attività di promozione dell’utilizzo di farmaci Biosimilari e di farmaci col miglior rapporto costo-opportunità. Continuano i processi di diffusione ed implementazione delle raccomandazione dei gruppi di lavoro RER.</w:t>
      </w:r>
    </w:p>
    <w:p w:rsidR="00F2515A" w:rsidRDefault="002240C5">
      <w:pPr>
        <w:jc w:val="both"/>
        <w:rPr>
          <w:rFonts w:eastAsia="Calibri"/>
          <w:sz w:val="20"/>
          <w:lang w:eastAsia="en-US"/>
        </w:rPr>
      </w:pPr>
      <w:r w:rsidRPr="007D1362">
        <w:rPr>
          <w:rFonts w:eastAsia="Calibri"/>
          <w:sz w:val="20"/>
          <w:lang w:eastAsia="en-US"/>
        </w:rPr>
        <w:t>In continuo aumento il ricorso all’impiego di farmaci a brevetto scaduto, con percentuale superiore all’80% dei farmaci prescritti.</w:t>
      </w:r>
    </w:p>
    <w:p w:rsidR="001729FE" w:rsidRDefault="001729FE">
      <w:pPr>
        <w:jc w:val="both"/>
        <w:rPr>
          <w:rFonts w:asciiTheme="minorHAnsi" w:eastAsia="Calibri" w:hAnsiTheme="minorHAnsi"/>
          <w:sz w:val="20"/>
          <w:lang w:eastAsia="en-US"/>
        </w:rPr>
      </w:pPr>
    </w:p>
    <w:p w:rsidR="00E27519" w:rsidRPr="007D1362" w:rsidRDefault="00FC151C">
      <w:pPr>
        <w:pStyle w:val="Titolo3Verdana"/>
        <w:rPr>
          <w:rFonts w:asciiTheme="minorHAnsi" w:eastAsia="Calibri" w:hAnsiTheme="minorHAnsi"/>
        </w:rPr>
      </w:pPr>
      <w:bookmarkStart w:id="36" w:name="_Toc518040069"/>
      <w:r>
        <w:rPr>
          <w:rFonts w:asciiTheme="minorHAnsi" w:eastAsia="Calibri" w:hAnsiTheme="minorHAnsi"/>
        </w:rPr>
        <w:t>5.4</w:t>
      </w:r>
      <w:r w:rsidR="0003178C" w:rsidRPr="007D1362">
        <w:rPr>
          <w:rFonts w:asciiTheme="minorHAnsi" w:eastAsia="Calibri" w:hAnsiTheme="minorHAnsi"/>
        </w:rPr>
        <w:t xml:space="preserve"> Governo dei dispositivi medici</w:t>
      </w:r>
      <w:bookmarkEnd w:id="36"/>
      <w:r w:rsidR="0003178C" w:rsidRPr="007D1362">
        <w:rPr>
          <w:rFonts w:asciiTheme="minorHAnsi" w:eastAsia="Calibri" w:hAnsiTheme="minorHAnsi"/>
        </w:rPr>
        <w:t xml:space="preserve"> </w:t>
      </w:r>
    </w:p>
    <w:p w:rsidR="00AE6E4F" w:rsidRPr="007D1362" w:rsidRDefault="0003178C">
      <w:pPr>
        <w:spacing w:after="120"/>
        <w:contextualSpacing/>
        <w:jc w:val="both"/>
        <w:rPr>
          <w:rFonts w:asciiTheme="minorHAnsi" w:eastAsia="Calibri" w:hAnsiTheme="minorHAnsi"/>
          <w:sz w:val="20"/>
          <w:lang w:eastAsia="en-US"/>
        </w:rPr>
      </w:pPr>
      <w:r w:rsidRPr="007D1362">
        <w:rPr>
          <w:rFonts w:eastAsia="Calibri"/>
          <w:sz w:val="20"/>
          <w:lang w:eastAsia="en-US"/>
        </w:rPr>
        <w:t>Il tasso di copertura del flusso consumi Di.Me. sul conto economico (inclusi in particolare i dispositivi medici diagnostici in vitro e i dispositivi distribuiti sul territorio - assistenza integrativa e protesica)</w:t>
      </w:r>
      <w:r w:rsidR="00AE6E4F" w:rsidRPr="007D1362">
        <w:rPr>
          <w:rFonts w:eastAsia="Calibri"/>
          <w:sz w:val="20"/>
          <w:lang w:eastAsia="en-US"/>
        </w:rPr>
        <w:t xml:space="preserve"> nel 2017 è stato pari al 95.7</w:t>
      </w:r>
      <w:r w:rsidRPr="007D1362">
        <w:rPr>
          <w:rFonts w:eastAsia="Calibri"/>
          <w:sz w:val="20"/>
          <w:lang w:eastAsia="en-US"/>
        </w:rPr>
        <w:t xml:space="preserve">% per tutti i DM introdotti in modalità acquisto. </w:t>
      </w:r>
      <w:r w:rsidR="00AE6E4F" w:rsidRPr="007D1362">
        <w:rPr>
          <w:rFonts w:eastAsia="Calibri"/>
          <w:sz w:val="20"/>
          <w:lang w:eastAsia="en-US"/>
        </w:rPr>
        <w:t>In merito ai</w:t>
      </w:r>
      <w:r w:rsidR="00AE6E4F" w:rsidRPr="007D1362">
        <w:rPr>
          <w:rFonts w:asciiTheme="minorHAnsi" w:eastAsia="Calibri" w:hAnsiTheme="minorHAnsi"/>
          <w:sz w:val="20"/>
          <w:lang w:eastAsia="en-US"/>
        </w:rPr>
        <w:t xml:space="preserve"> DM-IVD (i cui prodotti non hanno ancora non hanno la piena obbligatorietà di rispondenza al repertorio indispensabile per entrare nel flusso DiME) i dati dei 12 mesi 2017, con 5° invio, portano ad un risultato pari al 30%, in linea con l’obiettivo regionale (&gt;25%). È in corso l’aggiornamento dati sull'applicativo OLIAM di BLU. Le attività devono continuare anche nel 2018 e nel 2019, con la codifica dei prodotti della nuova gara BLU. Con il passaggio alla nuova gara BLU si passerà alla gestione a refertato e di conseguenza passeranno sul flusso DIME a costo 0.</w:t>
      </w:r>
    </w:p>
    <w:p w:rsidR="00AE6E4F" w:rsidRPr="007D1362" w:rsidRDefault="00AE6E4F">
      <w:pPr>
        <w:spacing w:after="120"/>
        <w:contextualSpacing/>
        <w:jc w:val="both"/>
        <w:rPr>
          <w:rFonts w:asciiTheme="minorHAnsi" w:eastAsia="Calibri" w:hAnsiTheme="minorHAnsi"/>
          <w:sz w:val="20"/>
          <w:lang w:eastAsia="en-US"/>
        </w:rPr>
      </w:pPr>
    </w:p>
    <w:p w:rsidR="00A4619C" w:rsidRPr="007D1362" w:rsidRDefault="00691BB1">
      <w:pPr>
        <w:spacing w:after="120"/>
        <w:contextualSpacing/>
        <w:jc w:val="both"/>
        <w:rPr>
          <w:noProof/>
          <w:lang w:eastAsia="it-IT" w:bidi="ar-SA"/>
        </w:rPr>
      </w:pPr>
      <w:r w:rsidRPr="007D1362">
        <w:rPr>
          <w:rFonts w:asciiTheme="minorHAnsi" w:eastAsia="Calibri" w:hAnsiTheme="minorHAnsi"/>
          <w:sz w:val="20"/>
          <w:lang w:eastAsia="en-US"/>
        </w:rPr>
        <w:t>La s</w:t>
      </w:r>
      <w:r w:rsidR="00C74D27" w:rsidRPr="007D1362">
        <w:rPr>
          <w:rFonts w:asciiTheme="minorHAnsi" w:eastAsia="Calibri" w:hAnsiTheme="minorHAnsi"/>
          <w:sz w:val="20"/>
          <w:lang w:eastAsia="en-US"/>
        </w:rPr>
        <w:t>pesa per dimesso anno 2017</w:t>
      </w:r>
      <w:r w:rsidRPr="007D1362">
        <w:rPr>
          <w:rFonts w:asciiTheme="minorHAnsi" w:eastAsia="Calibri" w:hAnsiTheme="minorHAnsi"/>
          <w:sz w:val="20"/>
          <w:lang w:eastAsia="en-US"/>
        </w:rPr>
        <w:t xml:space="preserve"> è stata per l’</w:t>
      </w:r>
      <w:r w:rsidR="0003178C" w:rsidRPr="007D1362">
        <w:rPr>
          <w:rFonts w:asciiTheme="minorHAnsi" w:eastAsia="Calibri" w:hAnsiTheme="minorHAnsi"/>
          <w:sz w:val="20"/>
          <w:lang w:eastAsia="en-US"/>
        </w:rPr>
        <w:t xml:space="preserve">AUSL </w:t>
      </w:r>
      <w:r w:rsidRPr="007D1362">
        <w:rPr>
          <w:rFonts w:asciiTheme="minorHAnsi" w:eastAsia="Calibri" w:hAnsiTheme="minorHAnsi"/>
          <w:sz w:val="20"/>
          <w:lang w:eastAsia="en-US"/>
        </w:rPr>
        <w:t xml:space="preserve">di </w:t>
      </w:r>
      <w:r w:rsidR="00C74D27" w:rsidRPr="007D1362">
        <w:rPr>
          <w:rFonts w:asciiTheme="minorHAnsi" w:eastAsia="Calibri" w:hAnsiTheme="minorHAnsi"/>
          <w:sz w:val="20"/>
          <w:lang w:eastAsia="en-US"/>
        </w:rPr>
        <w:t>30.500.000 €, in continua riduzione dal 2015.</w:t>
      </w:r>
      <w:r w:rsidR="00A4619C" w:rsidRPr="007D1362">
        <w:rPr>
          <w:noProof/>
          <w:lang w:eastAsia="it-IT" w:bidi="ar-SA"/>
        </w:rPr>
        <w:t xml:space="preserve"> </w:t>
      </w:r>
    </w:p>
    <w:p w:rsidR="00E27519" w:rsidRPr="007D1362" w:rsidRDefault="00A4619C" w:rsidP="00A4619C">
      <w:pPr>
        <w:spacing w:after="120"/>
        <w:contextualSpacing/>
        <w:jc w:val="center"/>
        <w:rPr>
          <w:rFonts w:asciiTheme="minorHAnsi" w:eastAsia="Calibri" w:hAnsiTheme="minorHAnsi"/>
          <w:sz w:val="20"/>
          <w:lang w:eastAsia="en-US"/>
        </w:rPr>
      </w:pPr>
      <w:r w:rsidRPr="007D1362">
        <w:rPr>
          <w:noProof/>
          <w:lang w:eastAsia="it-IT" w:bidi="ar-SA"/>
        </w:rPr>
        <w:drawing>
          <wp:inline distT="0" distB="0" distL="0" distR="0" wp14:anchorId="0219EDF4" wp14:editId="21F0EB1E">
            <wp:extent cx="4572000" cy="2743200"/>
            <wp:effectExtent l="0" t="0" r="0" b="0"/>
            <wp:docPr id="64" name="Gra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4619C" w:rsidRPr="007D1362" w:rsidRDefault="00A4619C">
      <w:pPr>
        <w:spacing w:after="120"/>
        <w:contextualSpacing/>
        <w:jc w:val="both"/>
        <w:rPr>
          <w:rFonts w:asciiTheme="minorHAnsi" w:eastAsia="Calibri" w:hAnsiTheme="minorHAnsi"/>
          <w:sz w:val="20"/>
          <w:lang w:eastAsia="en-US"/>
        </w:rPr>
      </w:pPr>
    </w:p>
    <w:p w:rsidR="00A4619C" w:rsidRPr="007D1362" w:rsidRDefault="00A4619C">
      <w:pPr>
        <w:spacing w:after="120"/>
        <w:contextualSpacing/>
        <w:jc w:val="both"/>
        <w:rPr>
          <w:rFonts w:asciiTheme="minorHAnsi" w:eastAsia="Calibri" w:hAnsiTheme="minorHAnsi"/>
          <w:sz w:val="20"/>
          <w:lang w:eastAsia="en-US"/>
        </w:rPr>
      </w:pPr>
    </w:p>
    <w:p w:rsidR="008D242A" w:rsidRDefault="008D242A">
      <w:pPr>
        <w:suppressAutoHyphens w:val="0"/>
        <w:spacing w:before="0"/>
        <w:rPr>
          <w:rFonts w:asciiTheme="minorHAnsi" w:eastAsia="Calibri" w:hAnsiTheme="minorHAnsi"/>
          <w:sz w:val="20"/>
          <w:lang w:eastAsia="en-US"/>
        </w:rPr>
      </w:pPr>
      <w:r>
        <w:rPr>
          <w:rFonts w:asciiTheme="minorHAnsi" w:eastAsia="Calibri" w:hAnsiTheme="minorHAnsi"/>
          <w:sz w:val="20"/>
          <w:lang w:eastAsia="en-US"/>
        </w:rPr>
        <w:br w:type="page"/>
      </w:r>
    </w:p>
    <w:p w:rsidR="00E27519" w:rsidRPr="007D1362" w:rsidRDefault="00E27519">
      <w:pPr>
        <w:spacing w:after="120"/>
        <w:contextualSpacing/>
        <w:jc w:val="both"/>
        <w:rPr>
          <w:rFonts w:asciiTheme="minorHAnsi" w:eastAsia="Calibri" w:hAnsiTheme="minorHAnsi"/>
          <w:sz w:val="20"/>
          <w:lang w:eastAsia="en-US"/>
        </w:rPr>
      </w:pPr>
    </w:p>
    <w:p w:rsidR="00E27519" w:rsidRPr="007D1362" w:rsidRDefault="0003178C">
      <w:pPr>
        <w:pStyle w:val="Titolo2"/>
        <w:numPr>
          <w:ilvl w:val="1"/>
          <w:numId w:val="6"/>
        </w:numPr>
      </w:pPr>
      <w:bookmarkStart w:id="37" w:name="_Toc518040070"/>
      <w:r w:rsidRPr="007D1362">
        <w:t>6 Politiche di controllo, misurazione, valutazione e rendicontazione interna ed esterna</w:t>
      </w:r>
      <w:bookmarkEnd w:id="37"/>
    </w:p>
    <w:p w:rsidR="00E27519" w:rsidRPr="007D1362" w:rsidRDefault="0003178C">
      <w:pPr>
        <w:spacing w:before="0"/>
        <w:jc w:val="both"/>
        <w:rPr>
          <w:rFonts w:eastAsia="Calibri"/>
          <w:sz w:val="20"/>
          <w:lang w:eastAsia="en-US"/>
        </w:rPr>
      </w:pPr>
      <w:r w:rsidRPr="007D1362">
        <w:rPr>
          <w:rFonts w:eastAsia="Calibri"/>
          <w:sz w:val="20"/>
          <w:lang w:eastAsia="en-US"/>
        </w:rPr>
        <w:t xml:space="preserve">In quest’area sono </w:t>
      </w:r>
      <w:r w:rsidR="005717AC" w:rsidRPr="007D1362">
        <w:rPr>
          <w:rFonts w:eastAsia="Calibri"/>
          <w:sz w:val="20"/>
          <w:lang w:eastAsia="en-US"/>
        </w:rPr>
        <w:t>riportati i risultati aziendali per come vengono misurati a seguito degli obiettivi formalmente assegnati o degli indicatori di misurazione e monitoraggio della performance aziendale</w:t>
      </w:r>
      <w:r w:rsidRPr="007D1362">
        <w:rPr>
          <w:rFonts w:eastAsia="Calibri"/>
          <w:sz w:val="20"/>
          <w:lang w:eastAsia="en-US"/>
        </w:rPr>
        <w:t xml:space="preserve">. </w:t>
      </w:r>
    </w:p>
    <w:p w:rsidR="00E27519" w:rsidRPr="007D1362" w:rsidRDefault="00E27519">
      <w:pPr>
        <w:suppressAutoHyphens w:val="0"/>
        <w:spacing w:before="0"/>
        <w:jc w:val="both"/>
        <w:rPr>
          <w:rFonts w:asciiTheme="minorHAnsi" w:eastAsia="Calibri" w:hAnsiTheme="minorHAnsi"/>
          <w:sz w:val="20"/>
          <w:lang w:eastAsia="en-US"/>
        </w:rPr>
      </w:pPr>
    </w:p>
    <w:p w:rsidR="006A531F" w:rsidRPr="007D1362" w:rsidRDefault="006A531F" w:rsidP="006A531F">
      <w:pPr>
        <w:pStyle w:val="Titolo3Verdana"/>
        <w:rPr>
          <w:rFonts w:asciiTheme="minorHAnsi" w:eastAsia="Calibri" w:hAnsiTheme="minorHAnsi"/>
          <w:lang w:val="it-IT"/>
        </w:rPr>
      </w:pPr>
      <w:bookmarkStart w:id="38" w:name="_Toc518040071"/>
      <w:r w:rsidRPr="007D1362">
        <w:rPr>
          <w:rFonts w:asciiTheme="minorHAnsi" w:eastAsia="Calibri" w:hAnsiTheme="minorHAnsi"/>
          <w:lang w:val="it-IT"/>
        </w:rPr>
        <w:t>6</w:t>
      </w:r>
      <w:r w:rsidRPr="007D1362">
        <w:rPr>
          <w:rFonts w:asciiTheme="minorHAnsi" w:eastAsia="Calibri" w:hAnsiTheme="minorHAnsi"/>
        </w:rPr>
        <w:t xml:space="preserve">.1 </w:t>
      </w:r>
      <w:r w:rsidRPr="007D1362">
        <w:rPr>
          <w:rFonts w:asciiTheme="minorHAnsi" w:eastAsia="Calibri" w:hAnsiTheme="minorHAnsi"/>
          <w:lang w:val="it-IT"/>
        </w:rPr>
        <w:t>Autovalutazione raggiungimento obiettivi di programmazione DGR 830/2017</w:t>
      </w:r>
      <w:bookmarkEnd w:id="38"/>
    </w:p>
    <w:p w:rsidR="006A531F" w:rsidRPr="007D1362" w:rsidRDefault="006A531F" w:rsidP="006A531F">
      <w:pPr>
        <w:spacing w:after="120"/>
        <w:contextualSpacing/>
        <w:jc w:val="both"/>
        <w:rPr>
          <w:rFonts w:eastAsia="Calibri"/>
          <w:sz w:val="20"/>
          <w:lang w:eastAsia="en-US"/>
        </w:rPr>
      </w:pPr>
      <w:r w:rsidRPr="007D1362">
        <w:rPr>
          <w:rFonts w:eastAsia="Calibri"/>
          <w:sz w:val="20"/>
          <w:lang w:eastAsia="en-US"/>
        </w:rPr>
        <w:t>L’Azienda ha effettuato la rendicontazione dei singoli obiettivi di programmazione 2017, di cui alla DGR 830/2017, a fine aprile 2018 ed ha effettuato una completa autovalutazione di tutti i 244 obiettivi assegnati. Tra questi, la RER selezionerà quelli sui quali effettuare la valutazione del DG, che normalmente si conclude nell’estate.</w:t>
      </w:r>
    </w:p>
    <w:p w:rsidR="006A531F" w:rsidRPr="007D1362" w:rsidRDefault="006A531F" w:rsidP="006A531F">
      <w:pPr>
        <w:spacing w:after="120"/>
        <w:contextualSpacing/>
        <w:jc w:val="both"/>
        <w:rPr>
          <w:rFonts w:eastAsia="Calibri"/>
          <w:sz w:val="20"/>
          <w:lang w:eastAsia="en-US"/>
        </w:rPr>
      </w:pPr>
    </w:p>
    <w:p w:rsidR="006A531F" w:rsidRDefault="006A531F" w:rsidP="006A531F">
      <w:pPr>
        <w:spacing w:after="120"/>
        <w:contextualSpacing/>
        <w:jc w:val="both"/>
        <w:rPr>
          <w:rFonts w:eastAsia="Calibri"/>
          <w:sz w:val="20"/>
          <w:lang w:eastAsia="en-US"/>
        </w:rPr>
      </w:pPr>
      <w:r w:rsidRPr="007D1362">
        <w:rPr>
          <w:rFonts w:eastAsia="Calibri"/>
          <w:sz w:val="20"/>
          <w:lang w:eastAsia="en-US"/>
        </w:rPr>
        <w:t>Complessivamente, l’autovalutazione effettuata ha evidenziato una grande maggioranza di obiettivi raggiunti, pienamente o leggermente meno, una ridotta quantità di obiettivi raggiunti parzialmente e alcuni singoli obiettivi non raggiunti nei tempi o modi previsti.</w:t>
      </w:r>
    </w:p>
    <w:p w:rsidR="008F7885" w:rsidRDefault="008F7885" w:rsidP="006A531F">
      <w:pPr>
        <w:spacing w:after="120"/>
        <w:contextualSpacing/>
        <w:jc w:val="both"/>
        <w:rPr>
          <w:rFonts w:eastAsia="Calibri"/>
          <w:sz w:val="20"/>
          <w:lang w:eastAsia="en-US"/>
        </w:rPr>
      </w:pPr>
    </w:p>
    <w:p w:rsidR="008F7885" w:rsidRPr="007D1362" w:rsidRDefault="008F7885" w:rsidP="006A531F">
      <w:pPr>
        <w:spacing w:after="120"/>
        <w:contextualSpacing/>
        <w:jc w:val="both"/>
        <w:rPr>
          <w:rFonts w:eastAsia="Calibri"/>
          <w:sz w:val="20"/>
          <w:lang w:eastAsia="en-US"/>
        </w:rPr>
      </w:pPr>
      <w:r w:rsidRPr="008F7885">
        <w:rPr>
          <w:rStyle w:val="BodyText2Char"/>
          <w:rFonts w:eastAsia="Calibri"/>
          <w:noProof/>
          <w:lang w:eastAsia="it-IT" w:bidi="ar-SA"/>
        </w:rPr>
        <w:drawing>
          <wp:inline distT="0" distB="0" distL="0" distR="0" wp14:anchorId="62ED0091" wp14:editId="393BB8A2">
            <wp:extent cx="6095999" cy="2743200"/>
            <wp:effectExtent l="0" t="0" r="63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0000"/>
                    <a:stretch/>
                  </pic:blipFill>
                  <pic:spPr bwMode="auto">
                    <a:xfrm>
                      <a:off x="0" y="0"/>
                      <a:ext cx="6096851" cy="2743583"/>
                    </a:xfrm>
                    <a:prstGeom prst="rect">
                      <a:avLst/>
                    </a:prstGeom>
                    <a:ln>
                      <a:noFill/>
                    </a:ln>
                    <a:extLst>
                      <a:ext uri="{53640926-AAD7-44D8-BBD7-CCE9431645EC}">
                        <a14:shadowObscured xmlns:a14="http://schemas.microsoft.com/office/drawing/2010/main"/>
                      </a:ext>
                    </a:extLst>
                  </pic:spPr>
                </pic:pic>
              </a:graphicData>
            </a:graphic>
          </wp:inline>
        </w:drawing>
      </w:r>
    </w:p>
    <w:p w:rsidR="006A531F" w:rsidRPr="007D1362" w:rsidRDefault="006A531F" w:rsidP="006A531F">
      <w:pPr>
        <w:spacing w:after="120"/>
        <w:contextualSpacing/>
        <w:jc w:val="both"/>
        <w:rPr>
          <w:rFonts w:eastAsia="Calibri"/>
          <w:sz w:val="20"/>
          <w:lang w:eastAsia="en-US"/>
        </w:rPr>
      </w:pPr>
    </w:p>
    <w:p w:rsidR="006A531F" w:rsidRPr="007D1362" w:rsidRDefault="006A531F" w:rsidP="006A531F">
      <w:pPr>
        <w:spacing w:after="120"/>
        <w:contextualSpacing/>
        <w:jc w:val="both"/>
        <w:rPr>
          <w:rFonts w:eastAsia="Calibri"/>
          <w:sz w:val="20"/>
          <w:lang w:eastAsia="en-US"/>
        </w:rPr>
      </w:pPr>
      <w:r w:rsidRPr="007D1362">
        <w:rPr>
          <w:rFonts w:eastAsia="Calibri"/>
          <w:sz w:val="20"/>
          <w:lang w:eastAsia="en-US"/>
        </w:rPr>
        <w:t xml:space="preserve">Nell’Allegato 1 è riportato il dettaglio della rendicontazione dei singoli obiettivi inviata alla RER. </w:t>
      </w:r>
    </w:p>
    <w:p w:rsidR="00957520" w:rsidRPr="008F7885" w:rsidRDefault="00957520" w:rsidP="006A531F">
      <w:pPr>
        <w:spacing w:after="120"/>
        <w:contextualSpacing/>
        <w:jc w:val="both"/>
        <w:rPr>
          <w:rFonts w:eastAsia="Calibri"/>
          <w:sz w:val="20"/>
          <w:lang w:eastAsia="en-US"/>
        </w:rPr>
      </w:pPr>
    </w:p>
    <w:p w:rsidR="00615E79" w:rsidRDefault="00615E79" w:rsidP="00615E79">
      <w:pPr>
        <w:spacing w:before="0"/>
        <w:jc w:val="both"/>
        <w:rPr>
          <w:rFonts w:eastAsia="Calibri"/>
          <w:sz w:val="20"/>
          <w:lang w:eastAsia="en-US"/>
        </w:rPr>
      </w:pPr>
    </w:p>
    <w:p w:rsidR="00E27519" w:rsidRDefault="0003178C">
      <w:pPr>
        <w:pStyle w:val="Titolo3Verdana"/>
        <w:rPr>
          <w:rFonts w:asciiTheme="minorHAnsi" w:eastAsia="Calibri" w:hAnsiTheme="minorHAnsi"/>
          <w:lang w:val="it-IT"/>
        </w:rPr>
      </w:pPr>
      <w:bookmarkStart w:id="39" w:name="_Toc518040072"/>
      <w:r>
        <w:rPr>
          <w:rFonts w:asciiTheme="minorHAnsi" w:eastAsia="Calibri" w:hAnsiTheme="minorHAnsi"/>
          <w:lang w:val="it-IT"/>
        </w:rPr>
        <w:t>6</w:t>
      </w:r>
      <w:r>
        <w:rPr>
          <w:rFonts w:asciiTheme="minorHAnsi" w:eastAsia="Calibri" w:hAnsiTheme="minorHAnsi"/>
        </w:rPr>
        <w:t>.</w:t>
      </w:r>
      <w:r w:rsidR="00B61840">
        <w:rPr>
          <w:rFonts w:asciiTheme="minorHAnsi" w:eastAsia="Calibri" w:hAnsiTheme="minorHAnsi"/>
          <w:lang w:val="it-IT"/>
        </w:rPr>
        <w:t>2</w:t>
      </w:r>
      <w:r>
        <w:rPr>
          <w:rFonts w:asciiTheme="minorHAnsi" w:eastAsia="Calibri" w:hAnsiTheme="minorHAnsi"/>
        </w:rPr>
        <w:t xml:space="preserve"> Sistema di valutazione </w:t>
      </w:r>
      <w:r w:rsidR="00D87667">
        <w:rPr>
          <w:rFonts w:asciiTheme="minorHAnsi" w:eastAsia="Calibri" w:hAnsiTheme="minorHAnsi"/>
          <w:lang w:val="it-IT"/>
        </w:rPr>
        <w:t xml:space="preserve">INSIDER </w:t>
      </w:r>
      <w:r w:rsidR="00E80EB2">
        <w:rPr>
          <w:rFonts w:asciiTheme="minorHAnsi" w:eastAsia="Calibri" w:hAnsiTheme="minorHAnsi"/>
          <w:lang w:val="it-IT"/>
        </w:rPr>
        <w:t>–</w:t>
      </w:r>
      <w:r w:rsidR="00D87667">
        <w:rPr>
          <w:rFonts w:asciiTheme="minorHAnsi" w:eastAsia="Calibri" w:hAnsiTheme="minorHAnsi"/>
          <w:lang w:val="it-IT"/>
        </w:rPr>
        <w:t xml:space="preserve"> </w:t>
      </w:r>
      <w:r w:rsidR="00E80EB2">
        <w:rPr>
          <w:rFonts w:asciiTheme="minorHAnsi" w:eastAsia="Calibri" w:hAnsiTheme="minorHAnsi"/>
          <w:lang w:val="it-IT"/>
        </w:rPr>
        <w:t>Piano della Performance</w:t>
      </w:r>
      <w:r w:rsidR="00F54259">
        <w:rPr>
          <w:rFonts w:asciiTheme="minorHAnsi" w:eastAsia="Calibri" w:hAnsiTheme="minorHAnsi"/>
          <w:lang w:val="it-IT"/>
        </w:rPr>
        <w:t xml:space="preserve"> (PdP)</w:t>
      </w:r>
      <w:r w:rsidR="00CA6041">
        <w:rPr>
          <w:rFonts w:asciiTheme="minorHAnsi" w:eastAsia="Calibri" w:hAnsiTheme="minorHAnsi"/>
          <w:lang w:val="it-IT"/>
        </w:rPr>
        <w:t xml:space="preserve"> 2016-18</w:t>
      </w:r>
      <w:bookmarkEnd w:id="39"/>
    </w:p>
    <w:p w:rsidR="00D87667" w:rsidRDefault="00D87667" w:rsidP="00D87667">
      <w:pPr>
        <w:spacing w:before="0"/>
        <w:jc w:val="both"/>
        <w:rPr>
          <w:rFonts w:eastAsia="Calibri"/>
          <w:sz w:val="20"/>
          <w:lang w:eastAsia="en-US"/>
        </w:rPr>
      </w:pPr>
      <w:r>
        <w:rPr>
          <w:rFonts w:eastAsia="Calibri"/>
          <w:sz w:val="20"/>
          <w:lang w:eastAsia="en-US"/>
        </w:rPr>
        <w:t xml:space="preserve">La RER ha rivisto e aggiornato il sistema di indicatori comune a tutte le aziende sanitarie regionali con </w:t>
      </w:r>
      <w:r w:rsidR="00F54259">
        <w:rPr>
          <w:rFonts w:eastAsia="Calibri"/>
          <w:sz w:val="20"/>
          <w:lang w:eastAsia="en-US"/>
        </w:rPr>
        <w:t>la piattaforma</w:t>
      </w:r>
      <w:r>
        <w:rPr>
          <w:rFonts w:eastAsia="Calibri"/>
          <w:sz w:val="20"/>
          <w:lang w:eastAsia="en-US"/>
        </w:rPr>
        <w:t xml:space="preserve"> INSIDER</w:t>
      </w:r>
      <w:r w:rsidR="00F54259">
        <w:rPr>
          <w:rFonts w:eastAsia="Calibri"/>
          <w:sz w:val="20"/>
          <w:lang w:eastAsia="en-US"/>
        </w:rPr>
        <w:t>,</w:t>
      </w:r>
      <w:r>
        <w:rPr>
          <w:rFonts w:eastAsia="Calibri"/>
          <w:sz w:val="20"/>
          <w:lang w:eastAsia="en-US"/>
        </w:rPr>
        <w:t xml:space="preserve"> che ha integrato e ampliato il precedente sistema SIVER. Ha anche predisposto un elenco unitario di indicatori utili a rappresentare sinteticamente la valutazione della singola azienda in rapporto alle altre e alla media regionale</w:t>
      </w:r>
      <w:r w:rsidR="00F54259">
        <w:rPr>
          <w:rFonts w:eastAsia="Calibri"/>
          <w:sz w:val="20"/>
          <w:lang w:eastAsia="en-US"/>
        </w:rPr>
        <w:t>,</w:t>
      </w:r>
      <w:r w:rsidR="004A2DDF">
        <w:rPr>
          <w:rFonts w:eastAsia="Calibri"/>
          <w:sz w:val="20"/>
          <w:lang w:eastAsia="en-US"/>
        </w:rPr>
        <w:t xml:space="preserve"> sotto il profilo della Performance</w:t>
      </w:r>
      <w:r w:rsidR="00F54259">
        <w:rPr>
          <w:rFonts w:eastAsia="Calibri"/>
          <w:sz w:val="20"/>
          <w:lang w:eastAsia="en-US"/>
        </w:rPr>
        <w:t>. Altri insiemi di indicatori sono relativi alla griglia LEA e a un insieme ancora denominato SIVER sempre contenente indicatori di risultato.</w:t>
      </w:r>
    </w:p>
    <w:p w:rsidR="004A2DDF" w:rsidRDefault="00F54259" w:rsidP="004A2DDF">
      <w:pPr>
        <w:spacing w:before="0"/>
        <w:jc w:val="both"/>
        <w:rPr>
          <w:rFonts w:eastAsia="Calibri"/>
          <w:sz w:val="20"/>
          <w:lang w:eastAsia="en-US"/>
        </w:rPr>
      </w:pPr>
      <w:r>
        <w:rPr>
          <w:rFonts w:eastAsia="Calibri"/>
          <w:sz w:val="20"/>
          <w:lang w:eastAsia="en-US"/>
        </w:rPr>
        <w:t xml:space="preserve">Utilizzando i dati </w:t>
      </w:r>
      <w:r w:rsidR="004F731A" w:rsidRPr="004A2DDF">
        <w:rPr>
          <w:rFonts w:eastAsia="Calibri"/>
          <w:sz w:val="20"/>
          <w:lang w:eastAsia="en-US"/>
        </w:rPr>
        <w:t xml:space="preserve">pubblicati </w:t>
      </w:r>
      <w:r>
        <w:rPr>
          <w:rFonts w:eastAsia="Calibri"/>
          <w:sz w:val="20"/>
          <w:lang w:eastAsia="en-US"/>
        </w:rPr>
        <w:t>su</w:t>
      </w:r>
      <w:r w:rsidR="004F731A" w:rsidRPr="004A2DDF">
        <w:rPr>
          <w:rFonts w:eastAsia="Calibri"/>
          <w:sz w:val="20"/>
          <w:lang w:eastAsia="en-US"/>
        </w:rPr>
        <w:t>gli indicatori 2017</w:t>
      </w:r>
      <w:r>
        <w:rPr>
          <w:rFonts w:eastAsia="Calibri"/>
          <w:sz w:val="20"/>
          <w:lang w:eastAsia="en-US"/>
        </w:rPr>
        <w:t>,</w:t>
      </w:r>
      <w:r w:rsidR="004F731A" w:rsidRPr="004A2DDF">
        <w:rPr>
          <w:rFonts w:eastAsia="Calibri"/>
          <w:sz w:val="20"/>
          <w:lang w:eastAsia="en-US"/>
        </w:rPr>
        <w:t xml:space="preserve"> riguardanti il Piano della Performance Aziendale 2016-2018 </w:t>
      </w:r>
      <w:r>
        <w:rPr>
          <w:rFonts w:eastAsia="Calibri"/>
          <w:sz w:val="20"/>
          <w:lang w:eastAsia="en-US"/>
        </w:rPr>
        <w:t xml:space="preserve">e </w:t>
      </w:r>
      <w:r w:rsidR="00D87667" w:rsidRPr="004A2DDF">
        <w:rPr>
          <w:rFonts w:eastAsia="Calibri"/>
          <w:sz w:val="20"/>
          <w:lang w:eastAsia="en-US"/>
        </w:rPr>
        <w:t xml:space="preserve">utili </w:t>
      </w:r>
      <w:r w:rsidR="004F731A" w:rsidRPr="004A2DDF">
        <w:rPr>
          <w:rFonts w:eastAsia="Calibri"/>
          <w:sz w:val="20"/>
          <w:lang w:eastAsia="en-US"/>
        </w:rPr>
        <w:t>per la presente relazione</w:t>
      </w:r>
      <w:r>
        <w:rPr>
          <w:rFonts w:eastAsia="Calibri"/>
          <w:sz w:val="20"/>
          <w:lang w:eastAsia="en-US"/>
        </w:rPr>
        <w:t xml:space="preserve">, si riportano </w:t>
      </w:r>
      <w:r w:rsidR="004F731A" w:rsidRPr="004A2DDF">
        <w:rPr>
          <w:rFonts w:eastAsia="Calibri"/>
          <w:sz w:val="20"/>
          <w:lang w:eastAsia="en-US"/>
        </w:rPr>
        <w:t>nelle tabelle successive i risultati dell’Azienda</w:t>
      </w:r>
      <w:r w:rsidR="00D87667" w:rsidRPr="004A2DDF">
        <w:rPr>
          <w:rFonts w:eastAsia="Calibri"/>
          <w:sz w:val="20"/>
          <w:lang w:eastAsia="en-US"/>
        </w:rPr>
        <w:t>,</w:t>
      </w:r>
      <w:r w:rsidR="004F731A" w:rsidRPr="004A2DDF">
        <w:rPr>
          <w:rFonts w:eastAsia="Calibri"/>
          <w:sz w:val="20"/>
          <w:lang w:eastAsia="en-US"/>
        </w:rPr>
        <w:t xml:space="preserve"> comparati con lo stesso risultato conseguito nel </w:t>
      </w:r>
      <w:r w:rsidR="004F731A" w:rsidRPr="004A2DDF">
        <w:rPr>
          <w:rFonts w:eastAsia="Calibri"/>
          <w:sz w:val="20"/>
          <w:lang w:eastAsia="en-US"/>
        </w:rPr>
        <w:lastRenderedPageBreak/>
        <w:t xml:space="preserve">2016 e con i valori </w:t>
      </w:r>
      <w:r>
        <w:rPr>
          <w:rFonts w:eastAsia="Calibri"/>
          <w:sz w:val="20"/>
          <w:lang w:eastAsia="en-US"/>
        </w:rPr>
        <w:t xml:space="preserve">medi </w:t>
      </w:r>
      <w:r w:rsidR="004F731A" w:rsidRPr="004A2DDF">
        <w:rPr>
          <w:rFonts w:eastAsia="Calibri"/>
          <w:sz w:val="20"/>
          <w:lang w:eastAsia="en-US"/>
        </w:rPr>
        <w:t>della Regione Emilia-Romagna.</w:t>
      </w:r>
      <w:r w:rsidR="00D87667" w:rsidRPr="004A2DDF">
        <w:rPr>
          <w:rFonts w:eastAsia="Calibri"/>
          <w:sz w:val="20"/>
          <w:lang w:eastAsia="en-US"/>
        </w:rPr>
        <w:t xml:space="preserve"> </w:t>
      </w:r>
      <w:r w:rsidR="004A2DDF">
        <w:rPr>
          <w:rFonts w:eastAsia="Calibri"/>
          <w:sz w:val="20"/>
          <w:lang w:eastAsia="en-US"/>
        </w:rPr>
        <w:t>I dati sono riportati per Dimensioni e Aree della Performance. La legenda di lettura è la seguente: Rosso – Pessimo; Arancione – Scarso; Giallo – Medio; Verdino – Buono; Verde – Ottimo; Viola – Non Aggiustato; Blu – In osservazione; Grigio – Dato non disponibile.</w:t>
      </w:r>
    </w:p>
    <w:p w:rsidR="00DF4DB6" w:rsidRDefault="00DF4DB6" w:rsidP="004A2DDF">
      <w:pPr>
        <w:spacing w:before="0"/>
        <w:jc w:val="both"/>
        <w:rPr>
          <w:rFonts w:eastAsia="Calibri"/>
          <w:sz w:val="20"/>
          <w:lang w:eastAsia="en-US"/>
        </w:rPr>
      </w:pPr>
      <w:r>
        <w:rPr>
          <w:rFonts w:eastAsia="Calibri"/>
          <w:sz w:val="20"/>
          <w:lang w:eastAsia="en-US"/>
        </w:rPr>
        <w:t>I</w:t>
      </w:r>
      <w:r w:rsidR="00F54259">
        <w:rPr>
          <w:rFonts w:eastAsia="Calibri"/>
          <w:sz w:val="20"/>
          <w:lang w:eastAsia="en-US"/>
        </w:rPr>
        <w:t>l</w:t>
      </w:r>
      <w:r>
        <w:rPr>
          <w:rFonts w:eastAsia="Calibri"/>
          <w:sz w:val="20"/>
          <w:lang w:eastAsia="en-US"/>
        </w:rPr>
        <w:t xml:space="preserve"> dato sintetico </w:t>
      </w:r>
      <w:r w:rsidR="00F54259">
        <w:rPr>
          <w:rFonts w:eastAsia="Calibri"/>
          <w:sz w:val="20"/>
          <w:lang w:eastAsia="en-US"/>
        </w:rPr>
        <w:t xml:space="preserve">della sezione PdP </w:t>
      </w:r>
      <w:r>
        <w:rPr>
          <w:rFonts w:eastAsia="Calibri"/>
          <w:sz w:val="20"/>
          <w:lang w:eastAsia="en-US"/>
        </w:rPr>
        <w:t>è rappresentato nel grafico seguente</w:t>
      </w:r>
      <w:r w:rsidR="001965DA">
        <w:rPr>
          <w:rFonts w:eastAsia="Calibri"/>
          <w:sz w:val="20"/>
          <w:lang w:eastAsia="en-US"/>
        </w:rPr>
        <w:t xml:space="preserve"> ed evidenzia un livello molto alto di raggiungimento, </w:t>
      </w:r>
      <w:r w:rsidR="00596201">
        <w:rPr>
          <w:rFonts w:eastAsia="Calibri"/>
          <w:sz w:val="20"/>
          <w:lang w:eastAsia="en-US"/>
        </w:rPr>
        <w:t xml:space="preserve">con il </w:t>
      </w:r>
      <w:r w:rsidR="001965DA">
        <w:rPr>
          <w:rFonts w:eastAsia="Calibri"/>
          <w:sz w:val="20"/>
          <w:lang w:eastAsia="en-US"/>
        </w:rPr>
        <w:t xml:space="preserve">78% indicatori è ottimo o buono e il 22% con raggiungimento medio. Nessun indicatore indica un livello critico. </w:t>
      </w:r>
    </w:p>
    <w:p w:rsidR="00DF4DB6" w:rsidRDefault="00DF4DB6" w:rsidP="00DF4DB6">
      <w:pPr>
        <w:spacing w:before="0"/>
        <w:jc w:val="center"/>
        <w:rPr>
          <w:rFonts w:eastAsia="Calibri"/>
          <w:sz w:val="20"/>
          <w:lang w:eastAsia="en-US"/>
        </w:rPr>
      </w:pPr>
      <w:r>
        <w:rPr>
          <w:noProof/>
          <w:lang w:eastAsia="it-IT" w:bidi="ar-SA"/>
        </w:rPr>
        <w:drawing>
          <wp:inline distT="0" distB="0" distL="0" distR="0" wp14:anchorId="18988EBD" wp14:editId="31EAC36E">
            <wp:extent cx="5000625" cy="2967038"/>
            <wp:effectExtent l="0" t="0" r="9525" b="508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965DA" w:rsidRDefault="001965DA">
      <w:pPr>
        <w:spacing w:after="120"/>
        <w:contextualSpacing/>
        <w:jc w:val="both"/>
        <w:rPr>
          <w:rFonts w:eastAsia="Calibri"/>
          <w:sz w:val="20"/>
          <w:lang w:eastAsia="en-US"/>
        </w:rPr>
      </w:pPr>
      <w:r>
        <w:rPr>
          <w:rFonts w:eastAsia="Calibri"/>
          <w:sz w:val="20"/>
          <w:lang w:eastAsia="en-US"/>
        </w:rPr>
        <w:t xml:space="preserve">Nelle pagine seguenti si riporta il dettaglio degli indicatori di cui sopra. </w:t>
      </w:r>
    </w:p>
    <w:p w:rsidR="00E27519" w:rsidRPr="004A2DDF" w:rsidRDefault="0003178C">
      <w:pPr>
        <w:spacing w:after="120"/>
        <w:contextualSpacing/>
        <w:jc w:val="both"/>
        <w:rPr>
          <w:rFonts w:eastAsia="Calibri"/>
          <w:sz w:val="20"/>
          <w:lang w:eastAsia="en-US"/>
        </w:rPr>
      </w:pPr>
      <w:r w:rsidRPr="004A2DDF">
        <w:rPr>
          <w:rFonts w:eastAsia="Calibri"/>
          <w:sz w:val="20"/>
          <w:lang w:eastAsia="en-US"/>
        </w:rPr>
        <w:t xml:space="preserve">La prima dimensione del sistema di valutazione </w:t>
      </w:r>
      <w:r w:rsidR="00D87667" w:rsidRPr="004A2DDF">
        <w:rPr>
          <w:rFonts w:eastAsia="Calibri"/>
          <w:sz w:val="20"/>
          <w:lang w:eastAsia="en-US"/>
        </w:rPr>
        <w:t>INSIDER - PdP</w:t>
      </w:r>
      <w:r w:rsidRPr="004A2DDF">
        <w:rPr>
          <w:rFonts w:eastAsia="Calibri"/>
          <w:sz w:val="20"/>
          <w:lang w:eastAsia="en-US"/>
        </w:rPr>
        <w:t>, riguardante l’accesso e la domanda, mostra un andamento dell’Azienda USL di Modena positivo per tutti gli indicatori di monitoraggio.</w:t>
      </w:r>
    </w:p>
    <w:p w:rsidR="00E27519" w:rsidRPr="004A2DDF" w:rsidRDefault="00E27519">
      <w:pPr>
        <w:spacing w:after="120"/>
        <w:contextualSpacing/>
        <w:jc w:val="both"/>
        <w:rPr>
          <w:rFonts w:eastAsia="Calibri"/>
          <w:sz w:val="20"/>
          <w:lang w:eastAsia="en-US"/>
        </w:rPr>
      </w:pPr>
    </w:p>
    <w:p w:rsidR="00E27519" w:rsidRDefault="0003178C">
      <w:pPr>
        <w:spacing w:after="120"/>
        <w:contextualSpacing/>
        <w:jc w:val="both"/>
        <w:rPr>
          <w:rFonts w:eastAsia="Calibri"/>
          <w:sz w:val="20"/>
          <w:lang w:eastAsia="en-US"/>
        </w:rPr>
      </w:pPr>
      <w:r w:rsidRPr="004A2DDF">
        <w:rPr>
          <w:rFonts w:eastAsia="Calibri"/>
          <w:sz w:val="20"/>
          <w:lang w:eastAsia="en-US"/>
        </w:rPr>
        <w:t>Accesso e Domanda</w:t>
      </w:r>
    </w:p>
    <w:tbl>
      <w:tblPr>
        <w:tblW w:w="5000" w:type="pct"/>
        <w:tblCellMar>
          <w:left w:w="70" w:type="dxa"/>
          <w:right w:w="70" w:type="dxa"/>
        </w:tblCellMar>
        <w:tblLook w:val="04A0" w:firstRow="1" w:lastRow="0" w:firstColumn="1" w:lastColumn="0" w:noHBand="0" w:noVBand="1"/>
      </w:tblPr>
      <w:tblGrid>
        <w:gridCol w:w="3526"/>
        <w:gridCol w:w="1020"/>
        <w:gridCol w:w="1381"/>
        <w:gridCol w:w="1423"/>
        <w:gridCol w:w="1423"/>
        <w:gridCol w:w="1423"/>
      </w:tblGrid>
      <w:tr w:rsidR="004F731A" w:rsidRPr="004F731A" w:rsidTr="004F731A">
        <w:trPr>
          <w:trHeight w:val="510"/>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rPr>
                <w:rFonts w:cs="Times New Roman"/>
                <w:color w:val="000000"/>
                <w:sz w:val="20"/>
                <w:lang w:eastAsia="it-IT" w:bidi="ar-SA"/>
              </w:rPr>
            </w:pPr>
            <w:r w:rsidRPr="004F731A">
              <w:rPr>
                <w:rFonts w:cs="Tahoma"/>
                <w:color w:val="000000"/>
                <w:sz w:val="20"/>
                <w:lang w:eastAsia="it-IT" w:bidi="ar-SA"/>
              </w:rPr>
              <w:t>Indicatore</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center"/>
              <w:rPr>
                <w:rFonts w:cs="Times New Roman"/>
                <w:color w:val="000000"/>
                <w:sz w:val="20"/>
                <w:lang w:eastAsia="it-IT" w:bidi="ar-SA"/>
              </w:rPr>
            </w:pPr>
            <w:r w:rsidRPr="004F731A">
              <w:rPr>
                <w:rFonts w:cs="Tahoma"/>
                <w:color w:val="000000"/>
                <w:sz w:val="20"/>
                <w:lang w:eastAsia="it-IT" w:bidi="ar-SA"/>
              </w:rPr>
              <w:t>Valore Regionale</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center"/>
              <w:rPr>
                <w:rFonts w:cs="Times New Roman"/>
                <w:color w:val="000000"/>
                <w:sz w:val="20"/>
                <w:lang w:eastAsia="it-IT" w:bidi="ar-SA"/>
              </w:rPr>
            </w:pPr>
            <w:r w:rsidRPr="004F731A">
              <w:rPr>
                <w:rFonts w:cs="Tahoma"/>
                <w:color w:val="000000"/>
                <w:sz w:val="20"/>
                <w:lang w:eastAsia="it-IT" w:bidi="ar-SA"/>
              </w:rPr>
              <w:t>AUSL MO 2016</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center"/>
              <w:rPr>
                <w:rFonts w:cs="Times New Roman"/>
                <w:color w:val="000000"/>
                <w:sz w:val="20"/>
                <w:lang w:eastAsia="it-IT" w:bidi="ar-SA"/>
              </w:rPr>
            </w:pPr>
            <w:r w:rsidRPr="004F731A">
              <w:rPr>
                <w:rFonts w:cs="Tahoma"/>
                <w:color w:val="000000"/>
                <w:sz w:val="20"/>
                <w:lang w:eastAsia="it-IT" w:bidi="ar-SA"/>
              </w:rPr>
              <w:t>AUSL MO 2017</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center"/>
              <w:rPr>
                <w:rFonts w:cs="Times New Roman"/>
                <w:color w:val="000000"/>
                <w:sz w:val="20"/>
                <w:lang w:eastAsia="it-IT" w:bidi="ar-SA"/>
              </w:rPr>
            </w:pPr>
            <w:r w:rsidRPr="004F731A">
              <w:rPr>
                <w:rFonts w:cs="Times New Roman"/>
                <w:color w:val="000000"/>
                <w:sz w:val="20"/>
                <w:lang w:eastAsia="it-IT" w:bidi="ar-SA"/>
              </w:rPr>
              <w:t>Valutazione 2017</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center"/>
              <w:rPr>
                <w:rFonts w:cs="Times New Roman"/>
                <w:color w:val="000000"/>
                <w:sz w:val="20"/>
                <w:lang w:eastAsia="it-IT" w:bidi="ar-SA"/>
              </w:rPr>
            </w:pPr>
            <w:r w:rsidRPr="004F731A">
              <w:rPr>
                <w:rFonts w:cs="Times New Roman"/>
                <w:color w:val="000000"/>
                <w:sz w:val="20"/>
                <w:lang w:eastAsia="it-IT" w:bidi="ar-SA"/>
              </w:rPr>
              <w:t>Trend</w:t>
            </w:r>
          </w:p>
        </w:tc>
      </w:tr>
      <w:tr w:rsidR="004F731A" w:rsidRPr="004F731A" w:rsidTr="004F731A">
        <w:trPr>
          <w:trHeight w:val="765"/>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rPr>
                <w:rFonts w:cs="Times New Roman"/>
                <w:color w:val="000000"/>
                <w:sz w:val="20"/>
                <w:lang w:eastAsia="it-IT" w:bidi="ar-SA"/>
              </w:rPr>
            </w:pPr>
            <w:r w:rsidRPr="004F731A">
              <w:rPr>
                <w:rFonts w:cs="Tahoma"/>
                <w:color w:val="000000"/>
                <w:sz w:val="20"/>
                <w:lang w:eastAsia="it-IT" w:bidi="ar-SA"/>
              </w:rPr>
              <w:t>Tasso std di ospedalizzazione (ordinario e diurno) x 1.000 residenti - GRIGLIA LEA</w:t>
            </w:r>
          </w:p>
        </w:tc>
        <w:tc>
          <w:tcPr>
            <w:tcW w:w="500"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134,48</w:t>
            </w:r>
          </w:p>
        </w:tc>
        <w:tc>
          <w:tcPr>
            <w:tcW w:w="677"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137,77</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133,9</w:t>
            </w:r>
          </w:p>
        </w:tc>
        <w:tc>
          <w:tcPr>
            <w:tcW w:w="698" w:type="pct"/>
            <w:tcBorders>
              <w:top w:val="nil"/>
              <w:left w:val="nil"/>
              <w:bottom w:val="single" w:sz="4" w:space="0" w:color="auto"/>
              <w:right w:val="single" w:sz="4" w:space="0" w:color="auto"/>
            </w:tcBorders>
            <w:shd w:val="clear" w:color="000000" w:fill="00B050"/>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center"/>
              <w:rPr>
                <w:rFonts w:cs="Times New Roman"/>
                <w:color w:val="00B050"/>
                <w:sz w:val="36"/>
                <w:szCs w:val="36"/>
                <w:lang w:eastAsia="it-IT" w:bidi="ar-SA"/>
              </w:rPr>
            </w:pPr>
            <w:r w:rsidRPr="004F731A">
              <w:rPr>
                <w:rFonts w:cs="Times New Roman"/>
                <w:color w:val="00B050"/>
                <w:sz w:val="36"/>
                <w:szCs w:val="36"/>
                <w:lang w:eastAsia="it-IT" w:bidi="ar-SA"/>
              </w:rPr>
              <w:t>↑</w:t>
            </w:r>
          </w:p>
        </w:tc>
      </w:tr>
      <w:tr w:rsidR="004F731A" w:rsidRPr="004F731A" w:rsidTr="004F731A">
        <w:trPr>
          <w:trHeight w:val="765"/>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rPr>
                <w:rFonts w:cs="Times New Roman"/>
                <w:color w:val="000000"/>
                <w:sz w:val="20"/>
                <w:lang w:eastAsia="it-IT" w:bidi="ar-SA"/>
              </w:rPr>
            </w:pPr>
            <w:r w:rsidRPr="004F731A">
              <w:rPr>
                <w:rFonts w:cs="Tahoma"/>
                <w:color w:val="000000"/>
                <w:sz w:val="20"/>
                <w:lang w:eastAsia="it-IT" w:bidi="ar-SA"/>
              </w:rPr>
              <w:t>Tempi di attesa ex ante primi accessi: n. visite prospettate in sede di prenotazione entro i 30 gg</w:t>
            </w:r>
          </w:p>
        </w:tc>
        <w:tc>
          <w:tcPr>
            <w:tcW w:w="500"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97,05</w:t>
            </w:r>
          </w:p>
        </w:tc>
        <w:tc>
          <w:tcPr>
            <w:tcW w:w="677"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97</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97,44</w:t>
            </w:r>
          </w:p>
        </w:tc>
        <w:tc>
          <w:tcPr>
            <w:tcW w:w="698" w:type="pct"/>
            <w:tcBorders>
              <w:top w:val="nil"/>
              <w:left w:val="nil"/>
              <w:bottom w:val="single" w:sz="4" w:space="0" w:color="auto"/>
              <w:right w:val="single" w:sz="4" w:space="0" w:color="auto"/>
            </w:tcBorders>
            <w:shd w:val="clear" w:color="000000" w:fill="00B050"/>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1322CE" w:rsidP="004F731A">
            <w:pPr>
              <w:suppressAutoHyphens w:val="0"/>
              <w:spacing w:before="0" w:after="0" w:line="240" w:lineRule="auto"/>
              <w:jc w:val="center"/>
              <w:rPr>
                <w:rFonts w:cs="Times New Roman"/>
                <w:color w:val="FF0000"/>
                <w:sz w:val="36"/>
                <w:szCs w:val="36"/>
                <w:lang w:eastAsia="it-IT" w:bidi="ar-SA"/>
              </w:rPr>
            </w:pPr>
            <w:r w:rsidRPr="004F731A">
              <w:rPr>
                <w:rFonts w:cs="Times New Roman"/>
                <w:color w:val="00B050"/>
                <w:sz w:val="36"/>
                <w:szCs w:val="36"/>
                <w:lang w:eastAsia="it-IT" w:bidi="ar-SA"/>
              </w:rPr>
              <w:t>↑</w:t>
            </w:r>
          </w:p>
        </w:tc>
      </w:tr>
      <w:tr w:rsidR="004F731A" w:rsidRPr="004F731A" w:rsidTr="004F731A">
        <w:trPr>
          <w:trHeight w:val="765"/>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rPr>
                <w:rFonts w:cs="Times New Roman"/>
                <w:color w:val="000000"/>
                <w:sz w:val="20"/>
                <w:lang w:eastAsia="it-IT" w:bidi="ar-SA"/>
              </w:rPr>
            </w:pPr>
            <w:r w:rsidRPr="004F731A">
              <w:rPr>
                <w:rFonts w:cs="Tahoma"/>
                <w:color w:val="000000"/>
                <w:sz w:val="20"/>
                <w:lang w:eastAsia="it-IT" w:bidi="ar-SA"/>
              </w:rPr>
              <w:t>Tempi di attesa ex ante primi accessi: n. esami diagnostici prospettati in sede di prenotazione entro i 60 gg</w:t>
            </w:r>
          </w:p>
        </w:tc>
        <w:tc>
          <w:tcPr>
            <w:tcW w:w="500"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98,31</w:t>
            </w:r>
          </w:p>
        </w:tc>
        <w:tc>
          <w:tcPr>
            <w:tcW w:w="677"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97,64</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98,87</w:t>
            </w:r>
          </w:p>
        </w:tc>
        <w:tc>
          <w:tcPr>
            <w:tcW w:w="698" w:type="pct"/>
            <w:tcBorders>
              <w:top w:val="nil"/>
              <w:left w:val="nil"/>
              <w:bottom w:val="single" w:sz="4" w:space="0" w:color="auto"/>
              <w:right w:val="single" w:sz="4" w:space="0" w:color="auto"/>
            </w:tcBorders>
            <w:shd w:val="clear" w:color="000000" w:fill="00B050"/>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1322CE" w:rsidP="004F731A">
            <w:pPr>
              <w:suppressAutoHyphens w:val="0"/>
              <w:spacing w:before="0" w:after="0" w:line="240" w:lineRule="auto"/>
              <w:jc w:val="center"/>
              <w:rPr>
                <w:rFonts w:cs="Times New Roman"/>
                <w:color w:val="FF0000"/>
                <w:sz w:val="36"/>
                <w:szCs w:val="36"/>
                <w:lang w:eastAsia="it-IT" w:bidi="ar-SA"/>
              </w:rPr>
            </w:pPr>
            <w:r w:rsidRPr="004F731A">
              <w:rPr>
                <w:rFonts w:cs="Times New Roman"/>
                <w:color w:val="00B050"/>
                <w:sz w:val="36"/>
                <w:szCs w:val="36"/>
                <w:lang w:eastAsia="it-IT" w:bidi="ar-SA"/>
              </w:rPr>
              <w:t>↑</w:t>
            </w:r>
          </w:p>
        </w:tc>
      </w:tr>
      <w:tr w:rsidR="004F731A" w:rsidRPr="004F731A" w:rsidTr="004F731A">
        <w:trPr>
          <w:trHeight w:val="765"/>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rPr>
                <w:rFonts w:cs="Times New Roman"/>
                <w:color w:val="000000"/>
                <w:sz w:val="20"/>
                <w:lang w:eastAsia="it-IT" w:bidi="ar-SA"/>
              </w:rPr>
            </w:pPr>
            <w:r w:rsidRPr="004F731A">
              <w:rPr>
                <w:rFonts w:cs="Tahoma"/>
                <w:color w:val="000000"/>
                <w:sz w:val="20"/>
                <w:lang w:eastAsia="it-IT" w:bidi="ar-SA"/>
              </w:rPr>
              <w:t>% di assistiti con tempo massimo di attesa fra segnalazione e ricovero in Hospice &lt;= 3 giorni</w:t>
            </w:r>
          </w:p>
        </w:tc>
        <w:tc>
          <w:tcPr>
            <w:tcW w:w="500"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64,41</w:t>
            </w:r>
          </w:p>
        </w:tc>
        <w:tc>
          <w:tcPr>
            <w:tcW w:w="677"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w:t>
            </w:r>
          </w:p>
        </w:tc>
        <w:tc>
          <w:tcPr>
            <w:tcW w:w="698" w:type="pct"/>
            <w:tcBorders>
              <w:top w:val="nil"/>
              <w:left w:val="nil"/>
              <w:bottom w:val="single" w:sz="4" w:space="0" w:color="auto"/>
              <w:right w:val="single" w:sz="4" w:space="0" w:color="auto"/>
            </w:tcBorders>
            <w:shd w:val="clear" w:color="000000" w:fill="808080"/>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r>
      <w:tr w:rsidR="004F731A" w:rsidRPr="004F731A" w:rsidTr="004F731A">
        <w:trPr>
          <w:trHeight w:val="102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rPr>
                <w:rFonts w:cs="Times New Roman"/>
                <w:color w:val="000000"/>
                <w:sz w:val="20"/>
                <w:lang w:eastAsia="it-IT" w:bidi="ar-SA"/>
              </w:rPr>
            </w:pPr>
            <w:r w:rsidRPr="004F731A">
              <w:rPr>
                <w:rFonts w:cs="Tahoma"/>
                <w:color w:val="000000"/>
                <w:sz w:val="20"/>
                <w:lang w:eastAsia="it-IT" w:bidi="ar-SA"/>
              </w:rPr>
              <w:t>Tempo di attesa medio tra prenotazione e prima visita specialistica nei servizi di Salute Mentale Adulti</w:t>
            </w:r>
          </w:p>
        </w:tc>
        <w:tc>
          <w:tcPr>
            <w:tcW w:w="500"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10,22</w:t>
            </w:r>
          </w:p>
        </w:tc>
        <w:tc>
          <w:tcPr>
            <w:tcW w:w="677"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7,31</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8,35</w:t>
            </w:r>
          </w:p>
        </w:tc>
        <w:tc>
          <w:tcPr>
            <w:tcW w:w="698" w:type="pct"/>
            <w:tcBorders>
              <w:top w:val="nil"/>
              <w:left w:val="nil"/>
              <w:bottom w:val="single" w:sz="4" w:space="0" w:color="auto"/>
              <w:right w:val="single" w:sz="4" w:space="0" w:color="auto"/>
            </w:tcBorders>
            <w:shd w:val="clear" w:color="000000" w:fill="92D050"/>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center"/>
              <w:rPr>
                <w:rFonts w:cs="Times New Roman"/>
                <w:color w:val="FF0000"/>
                <w:sz w:val="36"/>
                <w:szCs w:val="36"/>
                <w:lang w:eastAsia="it-IT" w:bidi="ar-SA"/>
              </w:rPr>
            </w:pPr>
            <w:r w:rsidRPr="004F731A">
              <w:rPr>
                <w:rFonts w:cs="Times New Roman"/>
                <w:color w:val="FF0000"/>
                <w:sz w:val="36"/>
                <w:szCs w:val="36"/>
                <w:lang w:eastAsia="it-IT" w:bidi="ar-SA"/>
              </w:rPr>
              <w:t>↓</w:t>
            </w:r>
          </w:p>
        </w:tc>
      </w:tr>
      <w:tr w:rsidR="004F731A" w:rsidRPr="004F731A" w:rsidTr="004F731A">
        <w:trPr>
          <w:trHeight w:val="51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rPr>
                <w:rFonts w:cs="Times New Roman"/>
                <w:color w:val="000000"/>
                <w:sz w:val="20"/>
                <w:lang w:eastAsia="it-IT" w:bidi="ar-SA"/>
              </w:rPr>
            </w:pPr>
            <w:r w:rsidRPr="004F731A">
              <w:rPr>
                <w:rFonts w:cs="Tahoma"/>
                <w:color w:val="000000"/>
                <w:sz w:val="20"/>
                <w:lang w:eastAsia="it-IT" w:bidi="ar-SA"/>
              </w:rPr>
              <w:t>Intervallo Allarme - Target dei mezzi di soccorso - GRIGLIA LEA</w:t>
            </w:r>
          </w:p>
        </w:tc>
        <w:tc>
          <w:tcPr>
            <w:tcW w:w="500"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16</w:t>
            </w:r>
          </w:p>
        </w:tc>
        <w:tc>
          <w:tcPr>
            <w:tcW w:w="677"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w:t>
            </w:r>
          </w:p>
        </w:tc>
        <w:tc>
          <w:tcPr>
            <w:tcW w:w="698" w:type="pct"/>
            <w:tcBorders>
              <w:top w:val="nil"/>
              <w:left w:val="nil"/>
              <w:bottom w:val="single" w:sz="4" w:space="0" w:color="auto"/>
              <w:right w:val="single" w:sz="4" w:space="0" w:color="auto"/>
            </w:tcBorders>
            <w:shd w:val="clear" w:color="000000" w:fill="808080"/>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r>
      <w:tr w:rsidR="004F731A" w:rsidRPr="004F731A" w:rsidTr="004F731A">
        <w:trPr>
          <w:trHeight w:val="765"/>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rPr>
                <w:rFonts w:cs="Times New Roman"/>
                <w:color w:val="000000"/>
                <w:sz w:val="20"/>
                <w:lang w:eastAsia="it-IT" w:bidi="ar-SA"/>
              </w:rPr>
            </w:pPr>
            <w:r w:rsidRPr="004F731A">
              <w:rPr>
                <w:rFonts w:cs="Tahoma"/>
                <w:color w:val="000000"/>
                <w:sz w:val="20"/>
                <w:lang w:eastAsia="it-IT" w:bidi="ar-SA"/>
              </w:rPr>
              <w:lastRenderedPageBreak/>
              <w:t>% di pazienti registrati al PS con codice giallo e visitati entro 30 minuti</w:t>
            </w:r>
          </w:p>
        </w:tc>
        <w:tc>
          <w:tcPr>
            <w:tcW w:w="500"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67,87</w:t>
            </w:r>
          </w:p>
        </w:tc>
        <w:tc>
          <w:tcPr>
            <w:tcW w:w="677"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67,79</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66,64</w:t>
            </w:r>
          </w:p>
        </w:tc>
        <w:tc>
          <w:tcPr>
            <w:tcW w:w="698" w:type="pct"/>
            <w:tcBorders>
              <w:top w:val="nil"/>
              <w:left w:val="nil"/>
              <w:bottom w:val="single" w:sz="4" w:space="0" w:color="auto"/>
              <w:right w:val="single" w:sz="4" w:space="0" w:color="auto"/>
            </w:tcBorders>
            <w:shd w:val="clear" w:color="000000" w:fill="0070C0"/>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r>
      <w:tr w:rsidR="004F731A" w:rsidRPr="004F731A" w:rsidTr="004F731A">
        <w:trPr>
          <w:trHeight w:val="51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rPr>
                <w:rFonts w:cs="Times New Roman"/>
                <w:color w:val="000000"/>
                <w:sz w:val="20"/>
                <w:lang w:eastAsia="it-IT" w:bidi="ar-SA"/>
              </w:rPr>
            </w:pPr>
            <w:r w:rsidRPr="004F731A">
              <w:rPr>
                <w:rFonts w:cs="Tahoma"/>
                <w:color w:val="000000"/>
                <w:sz w:val="20"/>
                <w:lang w:eastAsia="it-IT" w:bidi="ar-SA"/>
              </w:rPr>
              <w:t>% di pazienti registrati al PS con codice verde e visitati entro 1 ora</w:t>
            </w:r>
          </w:p>
        </w:tc>
        <w:tc>
          <w:tcPr>
            <w:tcW w:w="500"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60,96</w:t>
            </w:r>
          </w:p>
        </w:tc>
        <w:tc>
          <w:tcPr>
            <w:tcW w:w="677"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67,06</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70,26</w:t>
            </w:r>
          </w:p>
        </w:tc>
        <w:tc>
          <w:tcPr>
            <w:tcW w:w="698" w:type="pct"/>
            <w:tcBorders>
              <w:top w:val="nil"/>
              <w:left w:val="nil"/>
              <w:bottom w:val="single" w:sz="4" w:space="0" w:color="auto"/>
              <w:right w:val="single" w:sz="4" w:space="0" w:color="auto"/>
            </w:tcBorders>
            <w:shd w:val="clear" w:color="000000" w:fill="0070C0"/>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r>
      <w:tr w:rsidR="004F731A" w:rsidRPr="004F731A" w:rsidTr="004F731A">
        <w:trPr>
          <w:trHeight w:val="30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rPr>
                <w:rFonts w:cs="Times New Roman"/>
                <w:color w:val="000000"/>
                <w:sz w:val="20"/>
                <w:lang w:eastAsia="it-IT" w:bidi="ar-SA"/>
              </w:rPr>
            </w:pPr>
            <w:r w:rsidRPr="004F731A">
              <w:rPr>
                <w:rFonts w:cs="Tahoma"/>
                <w:color w:val="000000"/>
                <w:sz w:val="20"/>
                <w:lang w:eastAsia="it-IT" w:bidi="ar-SA"/>
              </w:rPr>
              <w:t>Tasso std di accessi in PS</w:t>
            </w:r>
          </w:p>
        </w:tc>
        <w:tc>
          <w:tcPr>
            <w:tcW w:w="500"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381,94</w:t>
            </w:r>
          </w:p>
        </w:tc>
        <w:tc>
          <w:tcPr>
            <w:tcW w:w="677"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415,18</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ahoma"/>
                <w:color w:val="000000"/>
                <w:sz w:val="20"/>
                <w:lang w:eastAsia="it-IT" w:bidi="ar-SA"/>
              </w:rPr>
              <w:t>417,75</w:t>
            </w:r>
          </w:p>
        </w:tc>
        <w:tc>
          <w:tcPr>
            <w:tcW w:w="698" w:type="pct"/>
            <w:tcBorders>
              <w:top w:val="nil"/>
              <w:left w:val="nil"/>
              <w:bottom w:val="single" w:sz="4" w:space="0" w:color="auto"/>
              <w:right w:val="single" w:sz="4" w:space="0" w:color="auto"/>
            </w:tcBorders>
            <w:shd w:val="clear" w:color="000000" w:fill="0070C0"/>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F731A" w:rsidRPr="004F731A" w:rsidRDefault="004F731A" w:rsidP="004F731A">
            <w:pPr>
              <w:suppressAutoHyphens w:val="0"/>
              <w:spacing w:before="0" w:after="0" w:line="240" w:lineRule="auto"/>
              <w:jc w:val="right"/>
              <w:rPr>
                <w:rFonts w:cs="Times New Roman"/>
                <w:color w:val="000000"/>
                <w:sz w:val="20"/>
                <w:lang w:eastAsia="it-IT" w:bidi="ar-SA"/>
              </w:rPr>
            </w:pPr>
            <w:r w:rsidRPr="004F731A">
              <w:rPr>
                <w:rFonts w:cs="Times New Roman"/>
                <w:color w:val="000000"/>
                <w:sz w:val="20"/>
                <w:lang w:eastAsia="it-IT" w:bidi="ar-SA"/>
              </w:rPr>
              <w:t> </w:t>
            </w:r>
          </w:p>
        </w:tc>
      </w:tr>
    </w:tbl>
    <w:p w:rsidR="00E27519" w:rsidRDefault="0003178C">
      <w:pPr>
        <w:ind w:right="284"/>
        <w:jc w:val="both"/>
        <w:rPr>
          <w:rFonts w:eastAsia="Calibri"/>
          <w:sz w:val="16"/>
          <w:lang w:eastAsia="en-US"/>
        </w:rPr>
      </w:pPr>
      <w:r>
        <w:rPr>
          <w:rFonts w:eastAsia="Calibri"/>
          <w:sz w:val="16"/>
          <w:lang w:eastAsia="en-US"/>
        </w:rPr>
        <w:t>Fonte: Reg</w:t>
      </w:r>
      <w:r w:rsidR="004F731A">
        <w:rPr>
          <w:rFonts w:eastAsia="Calibri"/>
          <w:sz w:val="16"/>
          <w:lang w:eastAsia="en-US"/>
        </w:rPr>
        <w:t>ione Emilia Romagna, INSIDER, 2017.</w:t>
      </w:r>
    </w:p>
    <w:p w:rsidR="00E27519" w:rsidRDefault="00E27519">
      <w:pPr>
        <w:ind w:right="284"/>
        <w:jc w:val="both"/>
        <w:rPr>
          <w:rFonts w:eastAsia="Calibri"/>
          <w:b/>
          <w:sz w:val="20"/>
          <w:lang w:eastAsia="en-US"/>
        </w:rPr>
      </w:pPr>
    </w:p>
    <w:p w:rsidR="00E27519" w:rsidRDefault="0003178C">
      <w:pPr>
        <w:spacing w:after="120"/>
        <w:contextualSpacing/>
        <w:jc w:val="both"/>
        <w:rPr>
          <w:rFonts w:eastAsia="Calibri"/>
          <w:sz w:val="20"/>
          <w:lang w:eastAsia="en-US"/>
        </w:rPr>
      </w:pPr>
      <w:r>
        <w:rPr>
          <w:rFonts w:eastAsia="Calibri"/>
          <w:sz w:val="20"/>
          <w:lang w:eastAsia="en-US"/>
        </w:rPr>
        <w:t>Integrazione</w:t>
      </w:r>
    </w:p>
    <w:tbl>
      <w:tblPr>
        <w:tblW w:w="5000" w:type="pct"/>
        <w:tblCellMar>
          <w:left w:w="70" w:type="dxa"/>
          <w:right w:w="70" w:type="dxa"/>
        </w:tblCellMar>
        <w:tblLook w:val="04A0" w:firstRow="1" w:lastRow="0" w:firstColumn="1" w:lastColumn="0" w:noHBand="0" w:noVBand="1"/>
      </w:tblPr>
      <w:tblGrid>
        <w:gridCol w:w="3526"/>
        <w:gridCol w:w="1020"/>
        <w:gridCol w:w="1381"/>
        <w:gridCol w:w="1423"/>
        <w:gridCol w:w="1423"/>
        <w:gridCol w:w="1423"/>
      </w:tblGrid>
      <w:tr w:rsidR="004337B6" w:rsidRPr="004337B6" w:rsidTr="004337B6">
        <w:trPr>
          <w:trHeight w:val="510"/>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rPr>
                <w:rFonts w:cs="Times New Roman"/>
                <w:color w:val="000000"/>
                <w:sz w:val="20"/>
                <w:lang w:eastAsia="it-IT" w:bidi="ar-SA"/>
              </w:rPr>
            </w:pPr>
            <w:r w:rsidRPr="004337B6">
              <w:rPr>
                <w:rFonts w:cs="Tahoma"/>
                <w:color w:val="000000"/>
                <w:sz w:val="20"/>
                <w:lang w:eastAsia="it-IT" w:bidi="ar-SA"/>
              </w:rPr>
              <w:t>Indicatore</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center"/>
              <w:rPr>
                <w:rFonts w:cs="Times New Roman"/>
                <w:color w:val="000000"/>
                <w:sz w:val="20"/>
                <w:lang w:eastAsia="it-IT" w:bidi="ar-SA"/>
              </w:rPr>
            </w:pPr>
            <w:r w:rsidRPr="004337B6">
              <w:rPr>
                <w:rFonts w:cs="Tahoma"/>
                <w:color w:val="000000"/>
                <w:sz w:val="20"/>
                <w:lang w:eastAsia="it-IT" w:bidi="ar-SA"/>
              </w:rPr>
              <w:t>Valore Regionale</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rPr>
                <w:rFonts w:cs="Times New Roman"/>
                <w:color w:val="000000"/>
                <w:sz w:val="20"/>
                <w:lang w:eastAsia="it-IT" w:bidi="ar-SA"/>
              </w:rPr>
            </w:pPr>
            <w:r w:rsidRPr="004337B6">
              <w:rPr>
                <w:rFonts w:cs="Tahoma"/>
                <w:color w:val="000000"/>
                <w:sz w:val="20"/>
                <w:lang w:eastAsia="it-IT" w:bidi="ar-SA"/>
              </w:rPr>
              <w:t>AUSL MO 2016</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rPr>
                <w:rFonts w:cs="Times New Roman"/>
                <w:color w:val="000000"/>
                <w:sz w:val="20"/>
                <w:lang w:eastAsia="it-IT" w:bidi="ar-SA"/>
              </w:rPr>
            </w:pPr>
            <w:r w:rsidRPr="004337B6">
              <w:rPr>
                <w:rFonts w:cs="Tahoma"/>
                <w:color w:val="000000"/>
                <w:sz w:val="20"/>
                <w:lang w:eastAsia="it-IT" w:bidi="ar-SA"/>
              </w:rPr>
              <w:t>AUSL MO 2017</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center"/>
              <w:rPr>
                <w:rFonts w:cs="Times New Roman"/>
                <w:color w:val="000000"/>
                <w:sz w:val="20"/>
                <w:lang w:eastAsia="it-IT" w:bidi="ar-SA"/>
              </w:rPr>
            </w:pPr>
            <w:r w:rsidRPr="004337B6">
              <w:rPr>
                <w:rFonts w:cs="Times New Roman"/>
                <w:color w:val="000000"/>
                <w:sz w:val="20"/>
                <w:lang w:eastAsia="it-IT" w:bidi="ar-SA"/>
              </w:rPr>
              <w:t>Valutazione 2017</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center"/>
              <w:rPr>
                <w:rFonts w:cs="Times New Roman"/>
                <w:color w:val="000000"/>
                <w:sz w:val="20"/>
                <w:lang w:eastAsia="it-IT" w:bidi="ar-SA"/>
              </w:rPr>
            </w:pPr>
            <w:r w:rsidRPr="004337B6">
              <w:rPr>
                <w:rFonts w:cs="Times New Roman"/>
                <w:color w:val="000000"/>
                <w:sz w:val="20"/>
                <w:lang w:eastAsia="it-IT" w:bidi="ar-SA"/>
              </w:rPr>
              <w:t>Trend</w:t>
            </w:r>
          </w:p>
        </w:tc>
      </w:tr>
      <w:tr w:rsidR="004337B6" w:rsidRPr="004337B6" w:rsidTr="004337B6">
        <w:trPr>
          <w:trHeight w:val="765"/>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rPr>
                <w:rFonts w:cs="Times New Roman"/>
                <w:color w:val="000000"/>
                <w:sz w:val="20"/>
                <w:lang w:eastAsia="it-IT" w:bidi="ar-SA"/>
              </w:rPr>
            </w:pPr>
            <w:r w:rsidRPr="004337B6">
              <w:rPr>
                <w:rFonts w:cs="Tahoma"/>
                <w:color w:val="000000"/>
                <w:sz w:val="20"/>
                <w:lang w:eastAsia="it-IT" w:bidi="ar-SA"/>
              </w:rPr>
              <w:t>% di anziani &gt;= 65 anni trattati in ADI - GRIGLIA LEA</w:t>
            </w:r>
          </w:p>
        </w:tc>
        <w:tc>
          <w:tcPr>
            <w:tcW w:w="500"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4,14</w:t>
            </w:r>
          </w:p>
        </w:tc>
        <w:tc>
          <w:tcPr>
            <w:tcW w:w="677"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4,07</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4,33</w:t>
            </w:r>
          </w:p>
        </w:tc>
        <w:tc>
          <w:tcPr>
            <w:tcW w:w="698" w:type="pct"/>
            <w:tcBorders>
              <w:top w:val="nil"/>
              <w:left w:val="nil"/>
              <w:bottom w:val="single" w:sz="4" w:space="0" w:color="auto"/>
              <w:right w:val="single" w:sz="4" w:space="0" w:color="auto"/>
            </w:tcBorders>
            <w:shd w:val="clear" w:color="000000" w:fill="00B050"/>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center"/>
              <w:rPr>
                <w:rFonts w:cs="Times New Roman"/>
                <w:color w:val="00B050"/>
                <w:sz w:val="36"/>
                <w:szCs w:val="36"/>
                <w:lang w:eastAsia="it-IT" w:bidi="ar-SA"/>
              </w:rPr>
            </w:pPr>
            <w:r w:rsidRPr="004337B6">
              <w:rPr>
                <w:rFonts w:cs="Times New Roman"/>
                <w:color w:val="00B050"/>
                <w:sz w:val="36"/>
                <w:szCs w:val="36"/>
                <w:lang w:eastAsia="it-IT" w:bidi="ar-SA"/>
              </w:rPr>
              <w:t>↑</w:t>
            </w:r>
          </w:p>
        </w:tc>
      </w:tr>
      <w:tr w:rsidR="004337B6" w:rsidRPr="004337B6" w:rsidTr="004337B6">
        <w:trPr>
          <w:trHeight w:val="765"/>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rPr>
                <w:rFonts w:cs="Times New Roman"/>
                <w:color w:val="000000"/>
                <w:sz w:val="20"/>
                <w:lang w:eastAsia="it-IT" w:bidi="ar-SA"/>
              </w:rPr>
            </w:pPr>
            <w:r w:rsidRPr="004337B6">
              <w:rPr>
                <w:rFonts w:cs="Tahoma"/>
                <w:color w:val="000000"/>
                <w:sz w:val="20"/>
                <w:lang w:eastAsia="it-IT" w:bidi="ar-SA"/>
              </w:rPr>
              <w:t>Tasso std di ospedalizzazione per TSO x 100.000 residenti maggiorenni</w:t>
            </w:r>
          </w:p>
        </w:tc>
        <w:tc>
          <w:tcPr>
            <w:tcW w:w="500"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22,36</w:t>
            </w:r>
          </w:p>
        </w:tc>
        <w:tc>
          <w:tcPr>
            <w:tcW w:w="677"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23,47</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20,92</w:t>
            </w:r>
          </w:p>
        </w:tc>
        <w:tc>
          <w:tcPr>
            <w:tcW w:w="698" w:type="pct"/>
            <w:tcBorders>
              <w:top w:val="nil"/>
              <w:left w:val="nil"/>
              <w:bottom w:val="single" w:sz="4" w:space="0" w:color="auto"/>
              <w:right w:val="single" w:sz="4" w:space="0" w:color="auto"/>
            </w:tcBorders>
            <w:shd w:val="clear" w:color="000000" w:fill="00B050"/>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center"/>
              <w:rPr>
                <w:rFonts w:cs="Times New Roman"/>
                <w:color w:val="00B050"/>
                <w:sz w:val="36"/>
                <w:szCs w:val="36"/>
                <w:lang w:eastAsia="it-IT" w:bidi="ar-SA"/>
              </w:rPr>
            </w:pPr>
            <w:r w:rsidRPr="004337B6">
              <w:rPr>
                <w:rFonts w:cs="Times New Roman"/>
                <w:color w:val="00B050"/>
                <w:sz w:val="36"/>
                <w:szCs w:val="36"/>
                <w:lang w:eastAsia="it-IT" w:bidi="ar-SA"/>
              </w:rPr>
              <w:t>↑</w:t>
            </w:r>
          </w:p>
        </w:tc>
      </w:tr>
      <w:tr w:rsidR="004337B6" w:rsidRPr="004337B6" w:rsidTr="004337B6">
        <w:trPr>
          <w:trHeight w:val="765"/>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rPr>
                <w:rFonts w:cs="Times New Roman"/>
                <w:color w:val="000000"/>
                <w:sz w:val="20"/>
                <w:lang w:eastAsia="it-IT" w:bidi="ar-SA"/>
              </w:rPr>
            </w:pPr>
            <w:r w:rsidRPr="004337B6">
              <w:rPr>
                <w:rFonts w:cs="Tahoma"/>
                <w:color w:val="000000"/>
                <w:sz w:val="20"/>
                <w:lang w:eastAsia="it-IT" w:bidi="ar-SA"/>
              </w:rPr>
              <w:t>Assistiti dalla rete di Cure Palliative al domicilio e/o in Hospice, deceduti</w:t>
            </w:r>
          </w:p>
        </w:tc>
        <w:tc>
          <w:tcPr>
            <w:tcW w:w="500"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65,24</w:t>
            </w:r>
          </w:p>
        </w:tc>
        <w:tc>
          <w:tcPr>
            <w:tcW w:w="677"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58,01</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64,3</w:t>
            </w:r>
          </w:p>
        </w:tc>
        <w:tc>
          <w:tcPr>
            <w:tcW w:w="698" w:type="pct"/>
            <w:tcBorders>
              <w:top w:val="nil"/>
              <w:left w:val="nil"/>
              <w:bottom w:val="single" w:sz="4" w:space="0" w:color="auto"/>
              <w:right w:val="single" w:sz="4" w:space="0" w:color="auto"/>
            </w:tcBorders>
            <w:shd w:val="clear" w:color="000000" w:fill="FFFF00"/>
            <w:noWrap/>
            <w:vAlign w:val="bottom"/>
            <w:hideMark/>
          </w:tcPr>
          <w:p w:rsidR="004337B6" w:rsidRPr="004337B6" w:rsidRDefault="004337B6" w:rsidP="004337B6">
            <w:pPr>
              <w:suppressAutoHyphens w:val="0"/>
              <w:spacing w:before="0" w:after="0" w:line="240" w:lineRule="auto"/>
              <w:rPr>
                <w:rFonts w:cs="Times New Roman"/>
                <w:color w:val="000000"/>
                <w:szCs w:val="22"/>
                <w:lang w:eastAsia="it-IT" w:bidi="ar-SA"/>
              </w:rPr>
            </w:pPr>
            <w:r w:rsidRPr="004337B6">
              <w:rPr>
                <w:rFonts w:cs="Times New Roman"/>
                <w:color w:val="000000"/>
                <w:szCs w:val="22"/>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center"/>
              <w:rPr>
                <w:rFonts w:cs="Times New Roman"/>
                <w:color w:val="00B050"/>
                <w:sz w:val="36"/>
                <w:szCs w:val="36"/>
                <w:lang w:eastAsia="it-IT" w:bidi="ar-SA"/>
              </w:rPr>
            </w:pPr>
            <w:r w:rsidRPr="004337B6">
              <w:rPr>
                <w:rFonts w:cs="Times New Roman"/>
                <w:color w:val="00B050"/>
                <w:sz w:val="36"/>
                <w:szCs w:val="36"/>
                <w:lang w:eastAsia="it-IT" w:bidi="ar-SA"/>
              </w:rPr>
              <w:t>↑</w:t>
            </w:r>
          </w:p>
        </w:tc>
      </w:tr>
      <w:tr w:rsidR="004337B6" w:rsidRPr="004337B6" w:rsidTr="004337B6">
        <w:trPr>
          <w:trHeight w:val="765"/>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rPr>
                <w:rFonts w:cs="Times New Roman"/>
                <w:color w:val="000000"/>
                <w:sz w:val="20"/>
                <w:lang w:eastAsia="it-IT" w:bidi="ar-SA"/>
              </w:rPr>
            </w:pPr>
            <w:r w:rsidRPr="004337B6">
              <w:rPr>
                <w:rFonts w:cs="Tahoma"/>
                <w:color w:val="000000"/>
                <w:sz w:val="20"/>
                <w:lang w:eastAsia="it-IT" w:bidi="ar-SA"/>
              </w:rPr>
              <w:t>% di ricoveri in Hospice con periodo di ricovero &gt;= 30 giorni</w:t>
            </w:r>
          </w:p>
        </w:tc>
        <w:tc>
          <w:tcPr>
            <w:tcW w:w="500"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18,03</w:t>
            </w:r>
          </w:p>
        </w:tc>
        <w:tc>
          <w:tcPr>
            <w:tcW w:w="677"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w:t>
            </w:r>
          </w:p>
        </w:tc>
        <w:tc>
          <w:tcPr>
            <w:tcW w:w="698" w:type="pct"/>
            <w:tcBorders>
              <w:top w:val="nil"/>
              <w:left w:val="nil"/>
              <w:bottom w:val="single" w:sz="4" w:space="0" w:color="auto"/>
              <w:right w:val="single" w:sz="4" w:space="0" w:color="auto"/>
            </w:tcBorders>
            <w:shd w:val="clear" w:color="000000" w:fill="808080"/>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noWrap/>
            <w:vAlign w:val="bottom"/>
            <w:hideMark/>
          </w:tcPr>
          <w:p w:rsidR="004337B6" w:rsidRPr="004337B6" w:rsidRDefault="004337B6" w:rsidP="004337B6">
            <w:pPr>
              <w:suppressAutoHyphens w:val="0"/>
              <w:spacing w:before="0" w:after="0" w:line="240" w:lineRule="auto"/>
              <w:rPr>
                <w:rFonts w:cs="Times New Roman"/>
                <w:color w:val="000000"/>
                <w:szCs w:val="22"/>
                <w:lang w:eastAsia="it-IT" w:bidi="ar-SA"/>
              </w:rPr>
            </w:pPr>
            <w:r w:rsidRPr="004337B6">
              <w:rPr>
                <w:rFonts w:cs="Times New Roman"/>
                <w:color w:val="000000"/>
                <w:szCs w:val="22"/>
                <w:lang w:eastAsia="it-IT" w:bidi="ar-SA"/>
              </w:rPr>
              <w:t> </w:t>
            </w:r>
          </w:p>
        </w:tc>
      </w:tr>
      <w:tr w:rsidR="004337B6" w:rsidRPr="004337B6" w:rsidTr="004337B6">
        <w:trPr>
          <w:trHeight w:val="102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rPr>
                <w:rFonts w:cs="Times New Roman"/>
                <w:color w:val="000000"/>
                <w:sz w:val="20"/>
                <w:lang w:eastAsia="it-IT" w:bidi="ar-SA"/>
              </w:rPr>
            </w:pPr>
            <w:r w:rsidRPr="004337B6">
              <w:rPr>
                <w:rFonts w:cs="Tahoma"/>
                <w:color w:val="000000"/>
                <w:sz w:val="20"/>
                <w:lang w:eastAsia="it-IT" w:bidi="ar-SA"/>
              </w:rPr>
              <w:t>Tasso di utilizzo dell'assistenza domiciliare x 1.000 residenti, &gt;= 75 anni</w:t>
            </w:r>
          </w:p>
        </w:tc>
        <w:tc>
          <w:tcPr>
            <w:tcW w:w="500"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194,03</w:t>
            </w:r>
          </w:p>
        </w:tc>
        <w:tc>
          <w:tcPr>
            <w:tcW w:w="677"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211,85</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222,52</w:t>
            </w:r>
          </w:p>
        </w:tc>
        <w:tc>
          <w:tcPr>
            <w:tcW w:w="698" w:type="pct"/>
            <w:tcBorders>
              <w:top w:val="nil"/>
              <w:left w:val="nil"/>
              <w:bottom w:val="single" w:sz="4" w:space="0" w:color="auto"/>
              <w:right w:val="single" w:sz="4" w:space="0" w:color="auto"/>
            </w:tcBorders>
            <w:shd w:val="clear" w:color="000000" w:fill="92D050"/>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center"/>
              <w:rPr>
                <w:rFonts w:cs="Times New Roman"/>
                <w:color w:val="00B050"/>
                <w:sz w:val="36"/>
                <w:szCs w:val="36"/>
                <w:lang w:eastAsia="it-IT" w:bidi="ar-SA"/>
              </w:rPr>
            </w:pPr>
            <w:r w:rsidRPr="004337B6">
              <w:rPr>
                <w:rFonts w:cs="Times New Roman"/>
                <w:color w:val="00B050"/>
                <w:sz w:val="36"/>
                <w:szCs w:val="36"/>
                <w:lang w:eastAsia="it-IT" w:bidi="ar-SA"/>
              </w:rPr>
              <w:t>↑</w:t>
            </w:r>
          </w:p>
        </w:tc>
      </w:tr>
      <w:tr w:rsidR="004337B6" w:rsidRPr="004337B6" w:rsidTr="004337B6">
        <w:trPr>
          <w:trHeight w:val="102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rPr>
                <w:rFonts w:cs="Times New Roman"/>
                <w:color w:val="000000"/>
                <w:sz w:val="20"/>
                <w:lang w:eastAsia="it-IT" w:bidi="ar-SA"/>
              </w:rPr>
            </w:pPr>
            <w:r w:rsidRPr="004337B6">
              <w:rPr>
                <w:rFonts w:cs="Tahoma"/>
                <w:color w:val="000000"/>
                <w:sz w:val="20"/>
                <w:lang w:eastAsia="it-IT" w:bidi="ar-SA"/>
              </w:rPr>
              <w:t>Tasso std ospedalizzazione in età pediatrica (&lt; 18 anni) per asma e gastroenterite x 100.000 abitanti - GRIGLIA LEA</w:t>
            </w:r>
          </w:p>
        </w:tc>
        <w:tc>
          <w:tcPr>
            <w:tcW w:w="500"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126,63</w:t>
            </w:r>
          </w:p>
        </w:tc>
        <w:tc>
          <w:tcPr>
            <w:tcW w:w="677"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153,57</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148,38</w:t>
            </w:r>
          </w:p>
        </w:tc>
        <w:tc>
          <w:tcPr>
            <w:tcW w:w="698" w:type="pct"/>
            <w:tcBorders>
              <w:top w:val="nil"/>
              <w:left w:val="nil"/>
              <w:bottom w:val="single" w:sz="4" w:space="0" w:color="auto"/>
              <w:right w:val="single" w:sz="4" w:space="0" w:color="auto"/>
            </w:tcBorders>
            <w:shd w:val="clear" w:color="000000" w:fill="FFFF00"/>
            <w:noWrap/>
            <w:vAlign w:val="bottom"/>
            <w:hideMark/>
          </w:tcPr>
          <w:p w:rsidR="004337B6" w:rsidRPr="004337B6" w:rsidRDefault="004337B6" w:rsidP="004337B6">
            <w:pPr>
              <w:suppressAutoHyphens w:val="0"/>
              <w:spacing w:before="0" w:after="0" w:line="240" w:lineRule="auto"/>
              <w:rPr>
                <w:rFonts w:cs="Times New Roman"/>
                <w:color w:val="000000"/>
                <w:szCs w:val="22"/>
                <w:lang w:eastAsia="it-IT" w:bidi="ar-SA"/>
              </w:rPr>
            </w:pPr>
            <w:r w:rsidRPr="004337B6">
              <w:rPr>
                <w:rFonts w:cs="Times New Roman"/>
                <w:color w:val="000000"/>
                <w:szCs w:val="22"/>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center"/>
              <w:rPr>
                <w:rFonts w:cs="Times New Roman"/>
                <w:color w:val="00B050"/>
                <w:sz w:val="36"/>
                <w:szCs w:val="36"/>
                <w:lang w:eastAsia="it-IT" w:bidi="ar-SA"/>
              </w:rPr>
            </w:pPr>
            <w:r w:rsidRPr="004337B6">
              <w:rPr>
                <w:rFonts w:cs="Times New Roman"/>
                <w:color w:val="00B050"/>
                <w:sz w:val="36"/>
                <w:szCs w:val="36"/>
                <w:lang w:eastAsia="it-IT" w:bidi="ar-SA"/>
              </w:rPr>
              <w:t>↑</w:t>
            </w:r>
          </w:p>
        </w:tc>
      </w:tr>
      <w:tr w:rsidR="004337B6" w:rsidRPr="004337B6" w:rsidTr="004337B6">
        <w:trPr>
          <w:trHeight w:val="1275"/>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rPr>
                <w:rFonts w:cs="Times New Roman"/>
                <w:color w:val="000000"/>
                <w:sz w:val="20"/>
                <w:lang w:eastAsia="it-IT" w:bidi="ar-SA"/>
              </w:rPr>
            </w:pPr>
            <w:r w:rsidRPr="004337B6">
              <w:rPr>
                <w:rFonts w:cs="Tahoma"/>
                <w:color w:val="000000"/>
                <w:sz w:val="20"/>
                <w:lang w:eastAsia="it-IT" w:bidi="ar-SA"/>
              </w:rPr>
              <w:t>Tasso std di ospedalizzazione per complicanze del diabete (a breve e lungo termine), BPCO e scompenso cardiaco x 100.000 residenti &gt;= 18 anni - GRIGLIA LEA</w:t>
            </w:r>
          </w:p>
        </w:tc>
        <w:tc>
          <w:tcPr>
            <w:tcW w:w="500"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415,31</w:t>
            </w:r>
          </w:p>
        </w:tc>
        <w:tc>
          <w:tcPr>
            <w:tcW w:w="677"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388,71</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ahoma"/>
                <w:color w:val="000000"/>
                <w:sz w:val="20"/>
                <w:lang w:eastAsia="it-IT" w:bidi="ar-SA"/>
              </w:rPr>
              <w:t>375,64</w:t>
            </w:r>
          </w:p>
        </w:tc>
        <w:tc>
          <w:tcPr>
            <w:tcW w:w="698" w:type="pct"/>
            <w:tcBorders>
              <w:top w:val="nil"/>
              <w:left w:val="nil"/>
              <w:bottom w:val="single" w:sz="4" w:space="0" w:color="auto"/>
              <w:right w:val="single" w:sz="4" w:space="0" w:color="auto"/>
            </w:tcBorders>
            <w:shd w:val="clear" w:color="000000" w:fill="92D050"/>
            <w:vAlign w:val="center"/>
            <w:hideMark/>
          </w:tcPr>
          <w:p w:rsidR="004337B6" w:rsidRPr="004337B6" w:rsidRDefault="004337B6" w:rsidP="004337B6">
            <w:pPr>
              <w:suppressAutoHyphens w:val="0"/>
              <w:spacing w:before="0" w:after="0" w:line="240" w:lineRule="auto"/>
              <w:jc w:val="right"/>
              <w:rPr>
                <w:rFonts w:cs="Times New Roman"/>
                <w:color w:val="000000"/>
                <w:sz w:val="20"/>
                <w:lang w:eastAsia="it-IT" w:bidi="ar-SA"/>
              </w:rPr>
            </w:pPr>
            <w:r w:rsidRPr="004337B6">
              <w:rPr>
                <w:rFonts w:cs="Times New Roman"/>
                <w:color w:val="000000"/>
                <w:sz w:val="20"/>
                <w:lang w:eastAsia="it-IT" w:bidi="ar-SA"/>
              </w:rPr>
              <w:t> </w:t>
            </w:r>
          </w:p>
        </w:tc>
        <w:tc>
          <w:tcPr>
            <w:tcW w:w="698" w:type="pct"/>
            <w:tcBorders>
              <w:top w:val="nil"/>
              <w:left w:val="nil"/>
              <w:bottom w:val="single" w:sz="4" w:space="0" w:color="auto"/>
              <w:right w:val="single" w:sz="4" w:space="0" w:color="auto"/>
            </w:tcBorders>
            <w:shd w:val="clear" w:color="auto" w:fill="auto"/>
            <w:vAlign w:val="center"/>
            <w:hideMark/>
          </w:tcPr>
          <w:p w:rsidR="004337B6" w:rsidRPr="004337B6" w:rsidRDefault="004337B6" w:rsidP="004337B6">
            <w:pPr>
              <w:suppressAutoHyphens w:val="0"/>
              <w:spacing w:before="0" w:after="0" w:line="240" w:lineRule="auto"/>
              <w:jc w:val="center"/>
              <w:rPr>
                <w:rFonts w:cs="Times New Roman"/>
                <w:color w:val="00B050"/>
                <w:sz w:val="36"/>
                <w:szCs w:val="36"/>
                <w:lang w:eastAsia="it-IT" w:bidi="ar-SA"/>
              </w:rPr>
            </w:pPr>
            <w:r w:rsidRPr="004337B6">
              <w:rPr>
                <w:rFonts w:cs="Times New Roman"/>
                <w:color w:val="00B050"/>
                <w:sz w:val="36"/>
                <w:szCs w:val="36"/>
                <w:lang w:eastAsia="it-IT" w:bidi="ar-SA"/>
              </w:rPr>
              <w:t>↑</w:t>
            </w:r>
          </w:p>
        </w:tc>
      </w:tr>
    </w:tbl>
    <w:p w:rsidR="004337B6" w:rsidRDefault="004337B6" w:rsidP="004337B6">
      <w:pPr>
        <w:ind w:right="284"/>
        <w:jc w:val="both"/>
        <w:rPr>
          <w:rFonts w:eastAsia="Calibri"/>
          <w:sz w:val="16"/>
          <w:lang w:eastAsia="en-US"/>
        </w:rPr>
      </w:pPr>
      <w:r>
        <w:rPr>
          <w:rFonts w:eastAsia="Calibri"/>
          <w:sz w:val="16"/>
          <w:lang w:eastAsia="en-US"/>
        </w:rPr>
        <w:t>Fonte: Regione Emilia Romagna, INSIDER, 2017.</w:t>
      </w:r>
    </w:p>
    <w:p w:rsidR="00E27519" w:rsidRPr="004A2DDF" w:rsidRDefault="0003178C">
      <w:pPr>
        <w:spacing w:after="120"/>
        <w:contextualSpacing/>
        <w:jc w:val="both"/>
        <w:rPr>
          <w:rFonts w:eastAsia="Calibri"/>
          <w:sz w:val="20"/>
          <w:lang w:eastAsia="en-US"/>
        </w:rPr>
      </w:pPr>
      <w:r w:rsidRPr="004A2DDF">
        <w:rPr>
          <w:rFonts w:eastAsia="Calibri"/>
          <w:sz w:val="20"/>
          <w:lang w:eastAsia="en-US"/>
        </w:rPr>
        <w:t>La seconda dimension</w:t>
      </w:r>
      <w:r w:rsidR="004337B6" w:rsidRPr="004A2DDF">
        <w:rPr>
          <w:rFonts w:eastAsia="Calibri"/>
          <w:sz w:val="20"/>
          <w:lang w:eastAsia="en-US"/>
        </w:rPr>
        <w:t>e del sistema di valutazione INSID</w:t>
      </w:r>
      <w:r w:rsidRPr="004A2DDF">
        <w:rPr>
          <w:rFonts w:eastAsia="Calibri"/>
          <w:sz w:val="20"/>
          <w:lang w:eastAsia="en-US"/>
        </w:rPr>
        <w:t>ER, riguardante l’integrazione, mostra un andamento dell’Azienda USL di Modena buono e ottimo in alcuni indicatori, con invece un valore di livello medio (giallo) relativamente a:</w:t>
      </w:r>
    </w:p>
    <w:p w:rsidR="004337B6" w:rsidRPr="004A2DDF" w:rsidRDefault="004337B6" w:rsidP="004337B6">
      <w:pPr>
        <w:pStyle w:val="Paragrafoelenco2"/>
        <w:numPr>
          <w:ilvl w:val="0"/>
          <w:numId w:val="31"/>
        </w:numPr>
        <w:spacing w:after="120"/>
        <w:jc w:val="both"/>
        <w:rPr>
          <w:rFonts w:asciiTheme="minorHAnsi" w:eastAsia="Calibri" w:hAnsiTheme="minorHAnsi"/>
          <w:lang w:eastAsia="en-US"/>
        </w:rPr>
      </w:pPr>
      <w:r w:rsidRPr="004A2DDF">
        <w:rPr>
          <w:rFonts w:asciiTheme="minorHAnsi" w:eastAsia="Calibri" w:hAnsiTheme="minorHAnsi"/>
          <w:lang w:eastAsia="en-US"/>
        </w:rPr>
        <w:t>Assistiti dalla rete di Cure Palliative al domicilio e/o in Hospice, deceduti (MO 64.3 – RER 65.24): questo posizionamento inferiore alla media, anche se in miglioramento, riflette l’attuale assenza di un Hospice nella rete di offerta aziendale cui si sopperisce con le cure domiciliari; è in programma la costruzione di 3 Hospice, per il primo dei quali sono in corso i lavori con apertura prevista nel 2018.</w:t>
      </w:r>
    </w:p>
    <w:p w:rsidR="00E27519" w:rsidRPr="004A2DDF" w:rsidRDefault="0003178C">
      <w:pPr>
        <w:pStyle w:val="Paragrafoelenco2"/>
        <w:numPr>
          <w:ilvl w:val="0"/>
          <w:numId w:val="31"/>
        </w:numPr>
        <w:spacing w:after="120"/>
        <w:jc w:val="both"/>
        <w:rPr>
          <w:rFonts w:asciiTheme="minorHAnsi" w:eastAsia="Calibri" w:hAnsiTheme="minorHAnsi"/>
          <w:lang w:eastAsia="en-US"/>
        </w:rPr>
      </w:pPr>
      <w:r w:rsidRPr="004A2DDF">
        <w:rPr>
          <w:rFonts w:asciiTheme="minorHAnsi" w:eastAsia="Calibri" w:hAnsiTheme="minorHAnsi"/>
          <w:lang w:eastAsia="en-US"/>
        </w:rPr>
        <w:t xml:space="preserve">Tasso std ospedalizzazione in età pediatrica (&lt; 18 anni) per asma e gastroenterite x 100.000 </w:t>
      </w:r>
      <w:r w:rsidR="004337B6" w:rsidRPr="004A2DDF">
        <w:rPr>
          <w:rFonts w:asciiTheme="minorHAnsi" w:eastAsia="Calibri" w:hAnsiTheme="minorHAnsi"/>
          <w:lang w:eastAsia="en-US"/>
        </w:rPr>
        <w:t>abitanti - GRIGLIA LEA (MO 148.38 – RER 126.63</w:t>
      </w:r>
      <w:r w:rsidRPr="004A2DDF">
        <w:rPr>
          <w:rFonts w:asciiTheme="minorHAnsi" w:eastAsia="Calibri" w:hAnsiTheme="minorHAnsi"/>
          <w:lang w:eastAsia="en-US"/>
        </w:rPr>
        <w:t>): il dato aziendale decisamente superiore alla media regionale richiede una maggiore attenzione ed il rafforzamento dei servizi alternativi al ricovero.</w:t>
      </w:r>
    </w:p>
    <w:p w:rsidR="00E27519" w:rsidRPr="004A2DDF" w:rsidRDefault="00E27519">
      <w:pPr>
        <w:pStyle w:val="Paragrafoelenco2"/>
        <w:spacing w:after="120"/>
        <w:jc w:val="both"/>
        <w:rPr>
          <w:rFonts w:asciiTheme="minorHAnsi" w:eastAsia="Calibri" w:hAnsiTheme="minorHAnsi"/>
          <w:lang w:eastAsia="en-US"/>
        </w:rPr>
      </w:pPr>
    </w:p>
    <w:p w:rsidR="00E27519" w:rsidRPr="004A2DDF" w:rsidRDefault="00E27519">
      <w:pPr>
        <w:spacing w:after="120"/>
        <w:contextualSpacing/>
        <w:jc w:val="both"/>
        <w:rPr>
          <w:rFonts w:eastAsia="Calibri"/>
          <w:sz w:val="20"/>
          <w:lang w:eastAsia="en-US"/>
        </w:rPr>
      </w:pPr>
    </w:p>
    <w:p w:rsidR="00E27519" w:rsidRPr="004A2DDF" w:rsidRDefault="0003178C">
      <w:pPr>
        <w:spacing w:after="120"/>
        <w:contextualSpacing/>
        <w:jc w:val="both"/>
        <w:rPr>
          <w:rFonts w:eastAsia="Calibri"/>
          <w:sz w:val="20"/>
          <w:lang w:eastAsia="en-US"/>
        </w:rPr>
      </w:pPr>
      <w:r w:rsidRPr="004A2DDF">
        <w:rPr>
          <w:rFonts w:eastAsia="Calibri"/>
          <w:sz w:val="20"/>
          <w:lang w:eastAsia="en-US"/>
        </w:rPr>
        <w:lastRenderedPageBreak/>
        <w:t>La dimensione degli Esiti per il momento nel sistema prevede solo dati in osservazione (blu) o non aggiustati (viola) e quindi non viene ancora emessa dalla RER una valutazione di posizionamento rispetto a un target/media regionale, ma solo a livello di trend da parte dell’Azienda</w:t>
      </w:r>
      <w:r w:rsidR="00B61840">
        <w:rPr>
          <w:rFonts w:eastAsia="Calibri"/>
          <w:sz w:val="20"/>
          <w:lang w:eastAsia="en-US"/>
        </w:rPr>
        <w:t xml:space="preserve"> e degli altri produttori provinciali pere alcuni indicatori (AOU, HH)</w:t>
      </w:r>
      <w:r w:rsidRPr="004A2DDF">
        <w:rPr>
          <w:rFonts w:eastAsia="Calibri"/>
          <w:sz w:val="20"/>
          <w:lang w:eastAsia="en-US"/>
        </w:rPr>
        <w:t>.</w:t>
      </w:r>
    </w:p>
    <w:p w:rsidR="001965DA" w:rsidRDefault="001965DA">
      <w:pPr>
        <w:suppressAutoHyphens w:val="0"/>
        <w:spacing w:before="0"/>
        <w:rPr>
          <w:rFonts w:eastAsia="Calibri"/>
          <w:sz w:val="20"/>
          <w:lang w:eastAsia="en-US"/>
        </w:rPr>
      </w:pPr>
    </w:p>
    <w:p w:rsidR="00E27519" w:rsidRPr="004A2DDF" w:rsidRDefault="0003178C">
      <w:pPr>
        <w:spacing w:after="120"/>
        <w:contextualSpacing/>
        <w:jc w:val="both"/>
        <w:rPr>
          <w:rFonts w:eastAsia="Calibri"/>
          <w:sz w:val="20"/>
          <w:lang w:eastAsia="en-US"/>
        </w:rPr>
      </w:pPr>
      <w:r w:rsidRPr="004A2DDF">
        <w:rPr>
          <w:rFonts w:eastAsia="Calibri"/>
          <w:sz w:val="20"/>
          <w:lang w:eastAsia="en-US"/>
        </w:rPr>
        <w:t>Esiti</w:t>
      </w:r>
    </w:p>
    <w:tbl>
      <w:tblPr>
        <w:tblW w:w="4292" w:type="pct"/>
        <w:tblCellMar>
          <w:left w:w="70" w:type="dxa"/>
          <w:right w:w="70" w:type="dxa"/>
        </w:tblCellMar>
        <w:tblLook w:val="04A0" w:firstRow="1" w:lastRow="0" w:firstColumn="1" w:lastColumn="0" w:noHBand="0" w:noVBand="1"/>
      </w:tblPr>
      <w:tblGrid>
        <w:gridCol w:w="3686"/>
        <w:gridCol w:w="1066"/>
        <w:gridCol w:w="1444"/>
        <w:gridCol w:w="1490"/>
        <w:gridCol w:w="1066"/>
      </w:tblGrid>
      <w:tr w:rsidR="007D2A63" w:rsidRPr="004A2DDF" w:rsidTr="007D2A63">
        <w:trPr>
          <w:trHeight w:val="510"/>
        </w:trPr>
        <w:tc>
          <w:tcPr>
            <w:tcW w:w="21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Indicatore</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0000"/>
                <w:sz w:val="20"/>
                <w:lang w:eastAsia="it-IT" w:bidi="ar-SA"/>
              </w:rPr>
            </w:pPr>
            <w:r w:rsidRPr="004A2DDF">
              <w:rPr>
                <w:rFonts w:cs="Tahoma"/>
                <w:color w:val="000000"/>
                <w:sz w:val="20"/>
                <w:lang w:eastAsia="it-IT" w:bidi="ar-SA"/>
              </w:rPr>
              <w:t>Valore Regionale</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AUSL MO 2016</w:t>
            </w:r>
          </w:p>
        </w:tc>
        <w:tc>
          <w:tcPr>
            <w:tcW w:w="851" w:type="pct"/>
            <w:tcBorders>
              <w:top w:val="single" w:sz="4" w:space="0" w:color="auto"/>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AUSL MO 2017</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0000"/>
                <w:sz w:val="20"/>
                <w:lang w:eastAsia="it-IT" w:bidi="ar-SA"/>
              </w:rPr>
            </w:pPr>
            <w:r w:rsidRPr="004A2DDF">
              <w:rPr>
                <w:rFonts w:cs="Times New Roman"/>
                <w:color w:val="000000"/>
                <w:sz w:val="20"/>
                <w:lang w:eastAsia="it-IT" w:bidi="ar-SA"/>
              </w:rPr>
              <w:t>Trend</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Infarto miocardico acuto: mortalità a 30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9,06</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11,37</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8,92</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Infarto miocardico acuto: % trattati con PTCA entro 2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43,18</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47,74</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19,9</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Scompenso cardiaco congestizio: mortalità a 30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12,68</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11,62</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16,12</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Bypass aortocoronarico: mortalità a 30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1,57</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1,53</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1,17</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7D2A63" w:rsidRPr="004A2DDF" w:rsidTr="007D2A63">
        <w:trPr>
          <w:trHeight w:val="102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Valvuloplastica o sostituzione di valvole cardiache: mortalità a 30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1,96</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1,44</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0,91</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7D2A63" w:rsidRPr="004A2DDF" w:rsidTr="007D2A63">
        <w:trPr>
          <w:trHeight w:val="102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Riparazione di aneurisma non rotto dell'aorta addominale: mortalità a 30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1,53</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1,28</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w:t>
            </w:r>
          </w:p>
        </w:tc>
        <w:tc>
          <w:tcPr>
            <w:tcW w:w="610" w:type="pct"/>
            <w:tcBorders>
              <w:top w:val="nil"/>
              <w:left w:val="nil"/>
              <w:bottom w:val="single" w:sz="4" w:space="0" w:color="auto"/>
              <w:right w:val="single" w:sz="4" w:space="0" w:color="auto"/>
            </w:tcBorders>
            <w:shd w:val="clear" w:color="auto" w:fill="auto"/>
            <w:noWrap/>
            <w:vAlign w:val="bottom"/>
            <w:hideMark/>
          </w:tcPr>
          <w:p w:rsidR="007D2A63" w:rsidRPr="004A2DDF" w:rsidRDefault="007D2A63" w:rsidP="00675D56">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r w:rsidR="007D2A63" w:rsidRPr="004A2DDF" w:rsidTr="001965DA">
        <w:trPr>
          <w:trHeight w:val="67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Ictus ischemico: mortalità a 30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10,66</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7,54</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10,39</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Intervento chirurgico per T cerebrale: mortalità a 30 giorni dall'intervento di craniotomia</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1,6</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1,34</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7D2A63" w:rsidRPr="004A2DDF" w:rsidTr="007D2A63">
        <w:trPr>
          <w:trHeight w:val="51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BPCO riacutizzata: mortalità a 30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9,99</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9,02</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10,81</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Colecistectomia laparoscopica: % ricoveri con degenza post-operatoria &lt; 3 gg</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80,73</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70,7</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78,77</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Colecistectomia laparoscopica: % interventi in reparti con volume di attività &gt; 90 casi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82,06</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87,72</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90,63</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 </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Intervento chirurgico per TM mammella: % interventi in reparti con volume di attività &gt; 135 casi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81,55</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89,5</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w:t>
            </w:r>
          </w:p>
        </w:tc>
        <w:tc>
          <w:tcPr>
            <w:tcW w:w="610" w:type="pct"/>
            <w:tcBorders>
              <w:top w:val="nil"/>
              <w:left w:val="nil"/>
              <w:bottom w:val="single" w:sz="4" w:space="0" w:color="auto"/>
              <w:right w:val="single" w:sz="4" w:space="0" w:color="auto"/>
            </w:tcBorders>
            <w:shd w:val="clear" w:color="auto" w:fill="auto"/>
            <w:noWrap/>
            <w:vAlign w:val="bottom"/>
            <w:hideMark/>
          </w:tcPr>
          <w:p w:rsidR="007D2A63" w:rsidRPr="004A2DDF" w:rsidRDefault="007D2A63" w:rsidP="00675D56">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r w:rsidR="007D2A63" w:rsidRPr="004A2DDF" w:rsidTr="007D2A63">
        <w:trPr>
          <w:trHeight w:val="102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Proporzione di nuovi interventi di resezione entro 120 gg da un intervento chirurgico conservativo per TM mammella</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6,11</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2,86</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3,2</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7D2A63" w:rsidRPr="004A2DDF" w:rsidTr="007D2A63">
        <w:trPr>
          <w:trHeight w:val="51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Intervento chirurgico per TM al polmone: mortalità a 30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0,78</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w:t>
            </w:r>
          </w:p>
        </w:tc>
        <w:tc>
          <w:tcPr>
            <w:tcW w:w="610" w:type="pct"/>
            <w:tcBorders>
              <w:top w:val="nil"/>
              <w:left w:val="nil"/>
              <w:bottom w:val="single" w:sz="4" w:space="0" w:color="auto"/>
              <w:right w:val="single" w:sz="4" w:space="0" w:color="auto"/>
            </w:tcBorders>
            <w:shd w:val="clear" w:color="auto" w:fill="auto"/>
            <w:noWrap/>
            <w:vAlign w:val="bottom"/>
            <w:hideMark/>
          </w:tcPr>
          <w:p w:rsidR="007D2A63" w:rsidRPr="004A2DDF" w:rsidRDefault="007D2A63" w:rsidP="00675D56">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r w:rsidR="007D2A63" w:rsidRPr="004A2DDF" w:rsidTr="007D2A63">
        <w:trPr>
          <w:trHeight w:val="51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lastRenderedPageBreak/>
              <w:t>Intervento chirurgico per TM allo stomaco: mortalità a 30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4,74</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5,21</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7D2A63" w:rsidRPr="004A2DDF" w:rsidTr="007D2A63">
        <w:trPr>
          <w:trHeight w:val="51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Intervento chirurgico per TM al colon: mortalità a 30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4,35</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3,83</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2,9</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7D2A63" w:rsidRPr="004A2DDF" w:rsidTr="007D2A63">
        <w:trPr>
          <w:trHeight w:val="51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Proporzione di parti con taglio cesareo primario</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18,01</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10,65</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9,21</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Parti naturali: proporzione di complicanze durante il parto e il puerperio</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0,9</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0,6</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0,73</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Parti cesarei: proporzione di complicanze durante il parto e il puerperio</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0,98</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1,43</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7D2A63" w:rsidRPr="004A2DDF" w:rsidTr="007D2A63">
        <w:trPr>
          <w:trHeight w:val="765"/>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Frattura del collo del femore: intervento chirurgico effettuato entro 2 giorni</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72,8</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68,01</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66,82</w:t>
            </w:r>
          </w:p>
        </w:tc>
        <w:tc>
          <w:tcPr>
            <w:tcW w:w="610"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7D2A63" w:rsidRPr="004A2DDF" w:rsidTr="007D2A63">
        <w:trPr>
          <w:trHeight w:val="510"/>
        </w:trPr>
        <w:tc>
          <w:tcPr>
            <w:tcW w:w="2106" w:type="pct"/>
            <w:tcBorders>
              <w:top w:val="nil"/>
              <w:left w:val="single" w:sz="4" w:space="0" w:color="auto"/>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Frattura della tibia e perone: tempi di attesa per intervento chirurgico</w:t>
            </w:r>
          </w:p>
        </w:tc>
        <w:tc>
          <w:tcPr>
            <w:tcW w:w="609"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w:t>
            </w:r>
          </w:p>
        </w:tc>
        <w:tc>
          <w:tcPr>
            <w:tcW w:w="825"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3</w:t>
            </w:r>
          </w:p>
        </w:tc>
        <w:tc>
          <w:tcPr>
            <w:tcW w:w="851" w:type="pct"/>
            <w:tcBorders>
              <w:top w:val="nil"/>
              <w:left w:val="nil"/>
              <w:bottom w:val="single" w:sz="4" w:space="0" w:color="auto"/>
              <w:right w:val="single" w:sz="4" w:space="0" w:color="auto"/>
            </w:tcBorders>
            <w:shd w:val="clear" w:color="auto" w:fill="auto"/>
            <w:vAlign w:val="center"/>
            <w:hideMark/>
          </w:tcPr>
          <w:p w:rsidR="007D2A63" w:rsidRPr="004A2DDF" w:rsidRDefault="007D2A63" w:rsidP="00675D56">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w:t>
            </w:r>
          </w:p>
        </w:tc>
        <w:tc>
          <w:tcPr>
            <w:tcW w:w="610" w:type="pct"/>
            <w:tcBorders>
              <w:top w:val="nil"/>
              <w:left w:val="nil"/>
              <w:bottom w:val="single" w:sz="4" w:space="0" w:color="auto"/>
              <w:right w:val="single" w:sz="4" w:space="0" w:color="auto"/>
            </w:tcBorders>
            <w:shd w:val="clear" w:color="auto" w:fill="auto"/>
            <w:noWrap/>
            <w:vAlign w:val="bottom"/>
            <w:hideMark/>
          </w:tcPr>
          <w:p w:rsidR="007D2A63" w:rsidRPr="004A2DDF" w:rsidRDefault="007D2A63" w:rsidP="00675D56">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bl>
    <w:p w:rsidR="00675D56" w:rsidRPr="004A2DDF" w:rsidRDefault="00675D56" w:rsidP="00675D56">
      <w:pPr>
        <w:ind w:right="284"/>
        <w:jc w:val="both"/>
        <w:rPr>
          <w:rFonts w:eastAsia="Calibri"/>
          <w:sz w:val="16"/>
          <w:lang w:eastAsia="en-US"/>
        </w:rPr>
      </w:pPr>
      <w:r w:rsidRPr="004A2DDF">
        <w:rPr>
          <w:rFonts w:eastAsia="Calibri"/>
          <w:sz w:val="16"/>
          <w:lang w:eastAsia="en-US"/>
        </w:rPr>
        <w:t>Fonte: Regione Emilia Romagna, INSIDER, 2017.</w:t>
      </w:r>
    </w:p>
    <w:p w:rsidR="00E27519" w:rsidRPr="004A2DDF" w:rsidRDefault="00E27519">
      <w:pPr>
        <w:spacing w:after="120"/>
        <w:contextualSpacing/>
        <w:jc w:val="both"/>
        <w:rPr>
          <w:rFonts w:eastAsia="Calibri"/>
          <w:sz w:val="20"/>
          <w:lang w:eastAsia="en-US"/>
        </w:rPr>
      </w:pPr>
    </w:p>
    <w:p w:rsidR="00E27519" w:rsidRPr="004A2DDF" w:rsidRDefault="0003178C">
      <w:pPr>
        <w:spacing w:after="120"/>
        <w:contextualSpacing/>
        <w:jc w:val="both"/>
        <w:rPr>
          <w:rFonts w:eastAsia="Calibri"/>
          <w:sz w:val="20"/>
          <w:lang w:eastAsia="en-US"/>
        </w:rPr>
      </w:pPr>
      <w:r w:rsidRPr="004A2DDF">
        <w:rPr>
          <w:rFonts w:eastAsia="Calibri"/>
          <w:sz w:val="20"/>
          <w:lang w:eastAsia="en-US"/>
        </w:rPr>
        <w:t>Produzione Ospedale</w:t>
      </w:r>
    </w:p>
    <w:tbl>
      <w:tblPr>
        <w:tblW w:w="5000" w:type="pct"/>
        <w:tblCellMar>
          <w:left w:w="70" w:type="dxa"/>
          <w:right w:w="70" w:type="dxa"/>
        </w:tblCellMar>
        <w:tblLook w:val="04A0" w:firstRow="1" w:lastRow="0" w:firstColumn="1" w:lastColumn="0" w:noHBand="0" w:noVBand="1"/>
      </w:tblPr>
      <w:tblGrid>
        <w:gridCol w:w="3723"/>
        <w:gridCol w:w="1075"/>
        <w:gridCol w:w="1456"/>
        <w:gridCol w:w="1501"/>
        <w:gridCol w:w="1366"/>
        <w:gridCol w:w="1075"/>
      </w:tblGrid>
      <w:tr w:rsidR="005A4801" w:rsidRPr="004A2DDF" w:rsidTr="005A4801">
        <w:trPr>
          <w:trHeight w:val="510"/>
        </w:trPr>
        <w:tc>
          <w:tcPr>
            <w:tcW w:w="1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Indicatore</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center"/>
              <w:rPr>
                <w:rFonts w:cs="Times New Roman"/>
                <w:color w:val="000000"/>
                <w:sz w:val="20"/>
                <w:lang w:eastAsia="it-IT" w:bidi="ar-SA"/>
              </w:rPr>
            </w:pPr>
            <w:r w:rsidRPr="004A2DDF">
              <w:rPr>
                <w:rFonts w:cs="Tahoma"/>
                <w:color w:val="000000"/>
                <w:sz w:val="20"/>
                <w:lang w:eastAsia="it-IT" w:bidi="ar-SA"/>
              </w:rPr>
              <w:t>Valore Regionale</w:t>
            </w:r>
          </w:p>
        </w:tc>
        <w:tc>
          <w:tcPr>
            <w:tcW w:w="714" w:type="pct"/>
            <w:tcBorders>
              <w:top w:val="single" w:sz="4" w:space="0" w:color="auto"/>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AUSL MO 2016</w:t>
            </w:r>
          </w:p>
        </w:tc>
        <w:tc>
          <w:tcPr>
            <w:tcW w:w="736" w:type="pct"/>
            <w:tcBorders>
              <w:top w:val="single" w:sz="4" w:space="0" w:color="auto"/>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AUSL MO 2017</w:t>
            </w:r>
          </w:p>
        </w:tc>
        <w:tc>
          <w:tcPr>
            <w:tcW w:w="670" w:type="pct"/>
            <w:tcBorders>
              <w:top w:val="single" w:sz="4" w:space="0" w:color="auto"/>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center"/>
              <w:rPr>
                <w:rFonts w:cs="Times New Roman"/>
                <w:color w:val="000000"/>
                <w:sz w:val="20"/>
                <w:lang w:eastAsia="it-IT" w:bidi="ar-SA"/>
              </w:rPr>
            </w:pPr>
            <w:r w:rsidRPr="004A2DDF">
              <w:rPr>
                <w:rFonts w:cs="Times New Roman"/>
                <w:color w:val="000000"/>
                <w:sz w:val="20"/>
                <w:lang w:eastAsia="it-IT" w:bidi="ar-SA"/>
              </w:rPr>
              <w:t>Valutazione 2017</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center"/>
              <w:rPr>
                <w:rFonts w:cs="Times New Roman"/>
                <w:color w:val="000000"/>
                <w:sz w:val="20"/>
                <w:lang w:eastAsia="it-IT" w:bidi="ar-SA"/>
              </w:rPr>
            </w:pPr>
            <w:r w:rsidRPr="004A2DDF">
              <w:rPr>
                <w:rFonts w:cs="Times New Roman"/>
                <w:color w:val="000000"/>
                <w:sz w:val="20"/>
                <w:lang w:eastAsia="it-IT" w:bidi="ar-SA"/>
              </w:rPr>
              <w:t>Trend</w:t>
            </w:r>
          </w:p>
        </w:tc>
      </w:tr>
      <w:tr w:rsidR="005A4801" w:rsidRPr="004A2DDF" w:rsidTr="005A4801">
        <w:trPr>
          <w:trHeight w:val="765"/>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 di ricoveri medici oltre soglia per pazienti di età &gt;= 65 anni</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w:t>
            </w:r>
          </w:p>
        </w:tc>
        <w:tc>
          <w:tcPr>
            <w:tcW w:w="714"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2,9</w:t>
            </w:r>
          </w:p>
        </w:tc>
        <w:tc>
          <w:tcPr>
            <w:tcW w:w="736"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w:t>
            </w:r>
          </w:p>
        </w:tc>
        <w:tc>
          <w:tcPr>
            <w:tcW w:w="670" w:type="pct"/>
            <w:tcBorders>
              <w:top w:val="nil"/>
              <w:left w:val="nil"/>
              <w:bottom w:val="single" w:sz="4" w:space="0" w:color="auto"/>
              <w:right w:val="single" w:sz="4" w:space="0" w:color="auto"/>
            </w:tcBorders>
            <w:shd w:val="clear" w:color="000000" w:fill="00B050"/>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imes New Roman"/>
                <w:color w:val="000000"/>
                <w:sz w:val="20"/>
                <w:lang w:eastAsia="it-IT" w:bidi="ar-SA"/>
              </w:rPr>
              <w:t> </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5A4801" w:rsidRPr="004A2DDF" w:rsidTr="005A4801">
        <w:trPr>
          <w:trHeight w:val="765"/>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Indice di Performance di Degenza Media (IPDM) per ricoveri acuti chirurgici</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-0,34</w:t>
            </w:r>
          </w:p>
        </w:tc>
        <w:tc>
          <w:tcPr>
            <w:tcW w:w="714"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0,33</w:t>
            </w:r>
          </w:p>
        </w:tc>
        <w:tc>
          <w:tcPr>
            <w:tcW w:w="736"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0,38</w:t>
            </w:r>
          </w:p>
        </w:tc>
        <w:tc>
          <w:tcPr>
            <w:tcW w:w="670" w:type="pct"/>
            <w:tcBorders>
              <w:top w:val="nil"/>
              <w:left w:val="nil"/>
              <w:bottom w:val="single" w:sz="4" w:space="0" w:color="auto"/>
              <w:right w:val="single" w:sz="4" w:space="0" w:color="auto"/>
            </w:tcBorders>
            <w:shd w:val="clear" w:color="000000" w:fill="FFFF00"/>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5A4801" w:rsidRPr="004A2DDF" w:rsidTr="005A4801">
        <w:trPr>
          <w:trHeight w:val="765"/>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Indice di Performance di Degenza Media (IPDM) per ricoveri acuti medici</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-0,52</w:t>
            </w:r>
          </w:p>
        </w:tc>
        <w:tc>
          <w:tcPr>
            <w:tcW w:w="714"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-0,64</w:t>
            </w:r>
          </w:p>
        </w:tc>
        <w:tc>
          <w:tcPr>
            <w:tcW w:w="736"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-0,98</w:t>
            </w:r>
          </w:p>
        </w:tc>
        <w:tc>
          <w:tcPr>
            <w:tcW w:w="670" w:type="pct"/>
            <w:tcBorders>
              <w:top w:val="nil"/>
              <w:left w:val="nil"/>
              <w:bottom w:val="single" w:sz="4" w:space="0" w:color="auto"/>
              <w:right w:val="single" w:sz="4" w:space="0" w:color="auto"/>
            </w:tcBorders>
            <w:shd w:val="clear" w:color="000000" w:fill="00B050"/>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imes New Roman"/>
                <w:color w:val="000000"/>
                <w:sz w:val="20"/>
                <w:lang w:eastAsia="it-IT" w:bidi="ar-SA"/>
              </w:rPr>
              <w:t> </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5A4801" w:rsidRPr="004A2DDF" w:rsidTr="005A4801">
        <w:trPr>
          <w:trHeight w:val="765"/>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Degenza media pre-operatoria</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0,73</w:t>
            </w:r>
          </w:p>
        </w:tc>
        <w:tc>
          <w:tcPr>
            <w:tcW w:w="714"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0,94</w:t>
            </w:r>
          </w:p>
        </w:tc>
        <w:tc>
          <w:tcPr>
            <w:tcW w:w="736"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0,69</w:t>
            </w:r>
          </w:p>
        </w:tc>
        <w:tc>
          <w:tcPr>
            <w:tcW w:w="670" w:type="pct"/>
            <w:tcBorders>
              <w:top w:val="nil"/>
              <w:left w:val="nil"/>
              <w:bottom w:val="single" w:sz="4" w:space="0" w:color="auto"/>
              <w:right w:val="single" w:sz="4" w:space="0" w:color="auto"/>
            </w:tcBorders>
            <w:shd w:val="clear" w:color="000000" w:fill="00B050"/>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imes New Roman"/>
                <w:color w:val="000000"/>
                <w:sz w:val="20"/>
                <w:lang w:eastAsia="it-IT" w:bidi="ar-SA"/>
              </w:rPr>
              <w:t> </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5A4801" w:rsidRPr="004A2DDF" w:rsidTr="005A4801">
        <w:trPr>
          <w:trHeight w:val="1020"/>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Volume di accessi in PS</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1891003</w:t>
            </w:r>
          </w:p>
        </w:tc>
        <w:tc>
          <w:tcPr>
            <w:tcW w:w="714"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207796</w:t>
            </w:r>
          </w:p>
        </w:tc>
        <w:tc>
          <w:tcPr>
            <w:tcW w:w="736"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164092</w:t>
            </w:r>
          </w:p>
        </w:tc>
        <w:tc>
          <w:tcPr>
            <w:tcW w:w="670" w:type="pct"/>
            <w:tcBorders>
              <w:top w:val="nil"/>
              <w:left w:val="nil"/>
              <w:bottom w:val="single" w:sz="4" w:space="0" w:color="auto"/>
              <w:right w:val="single" w:sz="4" w:space="0" w:color="auto"/>
            </w:tcBorders>
            <w:shd w:val="clear" w:color="000000" w:fill="0070C0"/>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27" w:type="pct"/>
            <w:tcBorders>
              <w:top w:val="nil"/>
              <w:left w:val="nil"/>
              <w:bottom w:val="single" w:sz="4" w:space="0" w:color="auto"/>
              <w:right w:val="single" w:sz="4" w:space="0" w:color="auto"/>
            </w:tcBorders>
            <w:shd w:val="clear" w:color="auto" w:fill="auto"/>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r w:rsidR="005A4801" w:rsidRPr="004A2DDF" w:rsidTr="005A4801">
        <w:trPr>
          <w:trHeight w:val="1020"/>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Volume di ricoveri in regime ordinario per DRG medici</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359943</w:t>
            </w:r>
          </w:p>
        </w:tc>
        <w:tc>
          <w:tcPr>
            <w:tcW w:w="714"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34714</w:t>
            </w:r>
          </w:p>
        </w:tc>
        <w:tc>
          <w:tcPr>
            <w:tcW w:w="736"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29460</w:t>
            </w:r>
          </w:p>
        </w:tc>
        <w:tc>
          <w:tcPr>
            <w:tcW w:w="670" w:type="pct"/>
            <w:tcBorders>
              <w:top w:val="nil"/>
              <w:left w:val="nil"/>
              <w:bottom w:val="single" w:sz="4" w:space="0" w:color="auto"/>
              <w:right w:val="single" w:sz="4" w:space="0" w:color="auto"/>
            </w:tcBorders>
            <w:shd w:val="clear" w:color="000000" w:fill="0070C0"/>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27" w:type="pct"/>
            <w:tcBorders>
              <w:top w:val="nil"/>
              <w:left w:val="nil"/>
              <w:bottom w:val="single" w:sz="4" w:space="0" w:color="auto"/>
              <w:right w:val="single" w:sz="4" w:space="0" w:color="auto"/>
            </w:tcBorders>
            <w:shd w:val="clear" w:color="auto" w:fill="auto"/>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r w:rsidR="005A4801" w:rsidRPr="004A2DDF" w:rsidTr="005A4801">
        <w:trPr>
          <w:trHeight w:val="1275"/>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Volume di ricoveri in regime ordinario per DRG chirurgici</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256848</w:t>
            </w:r>
          </w:p>
        </w:tc>
        <w:tc>
          <w:tcPr>
            <w:tcW w:w="714"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24306</w:t>
            </w:r>
          </w:p>
        </w:tc>
        <w:tc>
          <w:tcPr>
            <w:tcW w:w="736"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17575</w:t>
            </w:r>
          </w:p>
        </w:tc>
        <w:tc>
          <w:tcPr>
            <w:tcW w:w="670" w:type="pct"/>
            <w:tcBorders>
              <w:top w:val="nil"/>
              <w:left w:val="nil"/>
              <w:bottom w:val="single" w:sz="4" w:space="0" w:color="auto"/>
              <w:right w:val="single" w:sz="4" w:space="0" w:color="auto"/>
            </w:tcBorders>
            <w:shd w:val="clear" w:color="000000" w:fill="0070C0"/>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27" w:type="pct"/>
            <w:tcBorders>
              <w:top w:val="nil"/>
              <w:left w:val="nil"/>
              <w:bottom w:val="single" w:sz="4" w:space="0" w:color="auto"/>
              <w:right w:val="single" w:sz="4" w:space="0" w:color="auto"/>
            </w:tcBorders>
            <w:shd w:val="clear" w:color="auto" w:fill="auto"/>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r w:rsidR="005A4801" w:rsidRPr="004A2DDF" w:rsidTr="005A4801">
        <w:trPr>
          <w:trHeight w:val="765"/>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Volume di ricoveri in DH per DRG medici</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38898</w:t>
            </w:r>
          </w:p>
        </w:tc>
        <w:tc>
          <w:tcPr>
            <w:tcW w:w="714"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5954</w:t>
            </w:r>
          </w:p>
        </w:tc>
        <w:tc>
          <w:tcPr>
            <w:tcW w:w="736"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2333</w:t>
            </w:r>
          </w:p>
        </w:tc>
        <w:tc>
          <w:tcPr>
            <w:tcW w:w="670" w:type="pct"/>
            <w:tcBorders>
              <w:top w:val="nil"/>
              <w:left w:val="nil"/>
              <w:bottom w:val="single" w:sz="4" w:space="0" w:color="auto"/>
              <w:right w:val="single" w:sz="4" w:space="0" w:color="auto"/>
            </w:tcBorders>
            <w:shd w:val="clear" w:color="000000" w:fill="0070C0"/>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27" w:type="pct"/>
            <w:tcBorders>
              <w:top w:val="nil"/>
              <w:left w:val="nil"/>
              <w:bottom w:val="single" w:sz="4" w:space="0" w:color="auto"/>
              <w:right w:val="single" w:sz="4" w:space="0" w:color="auto"/>
            </w:tcBorders>
            <w:shd w:val="clear" w:color="auto" w:fill="auto"/>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r w:rsidR="005A4801" w:rsidRPr="004A2DDF" w:rsidTr="005A4801">
        <w:trPr>
          <w:trHeight w:val="510"/>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lastRenderedPageBreak/>
              <w:t>Volume di ricoveri in DH per DRG chirurgici</w:t>
            </w:r>
          </w:p>
        </w:tc>
        <w:tc>
          <w:tcPr>
            <w:tcW w:w="527"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84951</w:t>
            </w:r>
          </w:p>
        </w:tc>
        <w:tc>
          <w:tcPr>
            <w:tcW w:w="714"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9057</w:t>
            </w:r>
          </w:p>
        </w:tc>
        <w:tc>
          <w:tcPr>
            <w:tcW w:w="736" w:type="pct"/>
            <w:tcBorders>
              <w:top w:val="nil"/>
              <w:left w:val="nil"/>
              <w:bottom w:val="single" w:sz="4" w:space="0" w:color="auto"/>
              <w:right w:val="single" w:sz="4" w:space="0" w:color="auto"/>
            </w:tcBorders>
            <w:shd w:val="clear" w:color="auto" w:fill="auto"/>
            <w:vAlign w:val="center"/>
            <w:hideMark/>
          </w:tcPr>
          <w:p w:rsidR="005A4801" w:rsidRPr="004A2DDF" w:rsidRDefault="005A4801" w:rsidP="005A4801">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7087</w:t>
            </w:r>
          </w:p>
        </w:tc>
        <w:tc>
          <w:tcPr>
            <w:tcW w:w="670" w:type="pct"/>
            <w:tcBorders>
              <w:top w:val="nil"/>
              <w:left w:val="nil"/>
              <w:bottom w:val="single" w:sz="4" w:space="0" w:color="auto"/>
              <w:right w:val="single" w:sz="4" w:space="0" w:color="auto"/>
            </w:tcBorders>
            <w:shd w:val="clear" w:color="000000" w:fill="0070C0"/>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27" w:type="pct"/>
            <w:tcBorders>
              <w:top w:val="nil"/>
              <w:left w:val="nil"/>
              <w:bottom w:val="single" w:sz="4" w:space="0" w:color="auto"/>
              <w:right w:val="single" w:sz="4" w:space="0" w:color="auto"/>
            </w:tcBorders>
            <w:shd w:val="clear" w:color="auto" w:fill="auto"/>
            <w:noWrap/>
            <w:vAlign w:val="bottom"/>
            <w:hideMark/>
          </w:tcPr>
          <w:p w:rsidR="005A4801" w:rsidRPr="004A2DDF" w:rsidRDefault="005A4801" w:rsidP="005A4801">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bl>
    <w:p w:rsidR="005A4801" w:rsidRPr="004A2DDF" w:rsidRDefault="005A4801" w:rsidP="005A4801">
      <w:pPr>
        <w:ind w:right="284"/>
        <w:jc w:val="both"/>
        <w:rPr>
          <w:rFonts w:eastAsia="Calibri"/>
          <w:sz w:val="16"/>
          <w:lang w:eastAsia="en-US"/>
        </w:rPr>
      </w:pPr>
      <w:r w:rsidRPr="004A2DDF">
        <w:rPr>
          <w:rFonts w:eastAsia="Calibri"/>
          <w:sz w:val="16"/>
          <w:lang w:eastAsia="en-US"/>
        </w:rPr>
        <w:t>Fonte: Regione Emilia Romagna, INSIDER, 2017.</w:t>
      </w:r>
    </w:p>
    <w:p w:rsidR="00E27519" w:rsidRPr="004A2DDF" w:rsidRDefault="0003178C">
      <w:pPr>
        <w:spacing w:after="120"/>
        <w:contextualSpacing/>
        <w:jc w:val="both"/>
        <w:rPr>
          <w:rFonts w:eastAsia="Calibri"/>
          <w:sz w:val="20"/>
          <w:lang w:eastAsia="en-US"/>
        </w:rPr>
      </w:pPr>
      <w:r w:rsidRPr="004A2DDF">
        <w:rPr>
          <w:rFonts w:eastAsia="Calibri"/>
          <w:sz w:val="20"/>
          <w:lang w:eastAsia="en-US"/>
        </w:rPr>
        <w:t>La dimensione Produzione-Ospedal</w:t>
      </w:r>
      <w:r w:rsidR="005A4801" w:rsidRPr="004A2DDF">
        <w:rPr>
          <w:rFonts w:eastAsia="Calibri"/>
          <w:sz w:val="20"/>
          <w:lang w:eastAsia="en-US"/>
        </w:rPr>
        <w:t>e del sistema di valutazione INSID</w:t>
      </w:r>
      <w:r w:rsidRPr="004A2DDF">
        <w:rPr>
          <w:rFonts w:eastAsia="Calibri"/>
          <w:sz w:val="20"/>
          <w:lang w:eastAsia="en-US"/>
        </w:rPr>
        <w:t>ER, mostra un andamento dell’Azienda USL di Modena buono in quasi tutti gli indicatori, con invece un valore di livello medio (giallo) relativamente a:</w:t>
      </w:r>
    </w:p>
    <w:p w:rsidR="00E27519" w:rsidRPr="004A2DDF" w:rsidRDefault="0003178C">
      <w:pPr>
        <w:pStyle w:val="Paragrafoelenco2"/>
        <w:numPr>
          <w:ilvl w:val="0"/>
          <w:numId w:val="31"/>
        </w:numPr>
        <w:spacing w:after="120"/>
        <w:jc w:val="both"/>
        <w:rPr>
          <w:rFonts w:asciiTheme="minorHAnsi" w:eastAsia="Calibri" w:hAnsiTheme="minorHAnsi"/>
          <w:lang w:eastAsia="en-US"/>
        </w:rPr>
      </w:pPr>
      <w:r w:rsidRPr="004A2DDF">
        <w:rPr>
          <w:rFonts w:asciiTheme="minorHAnsi" w:eastAsia="Calibri" w:hAnsiTheme="minorHAnsi"/>
          <w:lang w:eastAsia="en-US"/>
        </w:rPr>
        <w:t>Indice di Performance di Degenza Media (IPDM) per ri</w:t>
      </w:r>
      <w:r w:rsidR="005A4801" w:rsidRPr="004A2DDF">
        <w:rPr>
          <w:rFonts w:asciiTheme="minorHAnsi" w:eastAsia="Calibri" w:hAnsiTheme="minorHAnsi"/>
          <w:lang w:eastAsia="en-US"/>
        </w:rPr>
        <w:t>coveri acuti chirurgici (MO 0,38 – RER -0,34</w:t>
      </w:r>
      <w:r w:rsidRPr="004A2DDF">
        <w:rPr>
          <w:rFonts w:asciiTheme="minorHAnsi" w:eastAsia="Calibri" w:hAnsiTheme="minorHAnsi"/>
          <w:lang w:eastAsia="en-US"/>
        </w:rPr>
        <w:t>): il dato aziendale mostra una degenza media per ricoveri acuti chirurgici superiore rispetto alla degenza media delle altre aziende sanitarie della regione. L’indicatore suggerisce una riduzione della degenza nei suddetti reparti e un miglioramento delle performance.</w:t>
      </w:r>
    </w:p>
    <w:p w:rsidR="00E27519" w:rsidRPr="004A2DDF" w:rsidRDefault="00E27519">
      <w:pPr>
        <w:spacing w:after="120"/>
        <w:contextualSpacing/>
        <w:jc w:val="both"/>
        <w:rPr>
          <w:rFonts w:eastAsia="Calibri"/>
          <w:sz w:val="20"/>
          <w:lang w:eastAsia="en-US"/>
        </w:rPr>
      </w:pPr>
    </w:p>
    <w:p w:rsidR="00E27519" w:rsidRPr="004A2DDF" w:rsidRDefault="0003178C">
      <w:pPr>
        <w:spacing w:after="120"/>
        <w:contextualSpacing/>
        <w:jc w:val="both"/>
        <w:rPr>
          <w:rFonts w:eastAsia="Calibri"/>
          <w:sz w:val="20"/>
          <w:lang w:eastAsia="en-US"/>
        </w:rPr>
      </w:pPr>
      <w:r w:rsidRPr="004A2DDF">
        <w:rPr>
          <w:rFonts w:eastAsia="Calibri"/>
          <w:sz w:val="20"/>
          <w:lang w:eastAsia="en-US"/>
        </w:rPr>
        <w:t>La dimensione Produzione-Territorio mostra un andamento dell’Azienda USL di Modena positivo per i 2 indicatori considerati.</w:t>
      </w:r>
    </w:p>
    <w:p w:rsidR="00E27519" w:rsidRPr="004A2DDF" w:rsidRDefault="00E27519">
      <w:pPr>
        <w:spacing w:after="120"/>
        <w:contextualSpacing/>
        <w:jc w:val="both"/>
        <w:rPr>
          <w:rFonts w:eastAsia="Calibri"/>
          <w:sz w:val="20"/>
          <w:lang w:eastAsia="en-US"/>
        </w:rPr>
      </w:pPr>
    </w:p>
    <w:p w:rsidR="00E27519" w:rsidRPr="004A2DDF" w:rsidRDefault="0003178C">
      <w:pPr>
        <w:spacing w:after="120"/>
        <w:contextualSpacing/>
        <w:jc w:val="both"/>
        <w:rPr>
          <w:rFonts w:eastAsia="Calibri"/>
          <w:sz w:val="20"/>
          <w:lang w:eastAsia="en-US"/>
        </w:rPr>
      </w:pPr>
      <w:r w:rsidRPr="004A2DDF">
        <w:rPr>
          <w:rFonts w:eastAsia="Calibri"/>
          <w:sz w:val="20"/>
          <w:lang w:eastAsia="en-US"/>
        </w:rPr>
        <w:t>Produzione-Territorio</w:t>
      </w:r>
    </w:p>
    <w:tbl>
      <w:tblPr>
        <w:tblW w:w="5000" w:type="pct"/>
        <w:tblCellMar>
          <w:left w:w="70" w:type="dxa"/>
          <w:right w:w="70" w:type="dxa"/>
        </w:tblCellMar>
        <w:tblLook w:val="04A0" w:firstRow="1" w:lastRow="0" w:firstColumn="1" w:lastColumn="0" w:noHBand="0" w:noVBand="1"/>
      </w:tblPr>
      <w:tblGrid>
        <w:gridCol w:w="3725"/>
        <w:gridCol w:w="1107"/>
        <w:gridCol w:w="1474"/>
        <w:gridCol w:w="1517"/>
        <w:gridCol w:w="1268"/>
        <w:gridCol w:w="1105"/>
      </w:tblGrid>
      <w:tr w:rsidR="00A3775C" w:rsidRPr="004A2DDF" w:rsidTr="00A3775C">
        <w:trPr>
          <w:trHeight w:val="510"/>
        </w:trPr>
        <w:tc>
          <w:tcPr>
            <w:tcW w:w="1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Indicatore</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center"/>
              <w:rPr>
                <w:rFonts w:cs="Times New Roman"/>
                <w:color w:val="000000"/>
                <w:sz w:val="20"/>
                <w:lang w:eastAsia="it-IT" w:bidi="ar-SA"/>
              </w:rPr>
            </w:pPr>
            <w:r w:rsidRPr="004A2DDF">
              <w:rPr>
                <w:rFonts w:cs="Tahoma"/>
                <w:color w:val="000000"/>
                <w:sz w:val="20"/>
                <w:lang w:eastAsia="it-IT" w:bidi="ar-SA"/>
              </w:rPr>
              <w:t>Valore Regionale</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AUSL MO 2016</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AUSL MO 2017</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center"/>
              <w:rPr>
                <w:rFonts w:cs="Times New Roman"/>
                <w:color w:val="000000"/>
                <w:sz w:val="20"/>
                <w:lang w:eastAsia="it-IT" w:bidi="ar-SA"/>
              </w:rPr>
            </w:pPr>
            <w:r w:rsidRPr="004A2DDF">
              <w:rPr>
                <w:rFonts w:cs="Times New Roman"/>
                <w:color w:val="000000"/>
                <w:sz w:val="20"/>
                <w:lang w:eastAsia="it-IT" w:bidi="ar-SA"/>
              </w:rPr>
              <w:t>Valutazione 2017</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center"/>
              <w:rPr>
                <w:rFonts w:cs="Times New Roman"/>
                <w:color w:val="000000"/>
                <w:sz w:val="20"/>
                <w:lang w:eastAsia="it-IT" w:bidi="ar-SA"/>
              </w:rPr>
            </w:pPr>
            <w:r w:rsidRPr="004A2DDF">
              <w:rPr>
                <w:rFonts w:cs="Times New Roman"/>
                <w:color w:val="000000"/>
                <w:sz w:val="20"/>
                <w:lang w:eastAsia="it-IT" w:bidi="ar-SA"/>
              </w:rPr>
              <w:t>Trend</w:t>
            </w:r>
          </w:p>
        </w:tc>
      </w:tr>
      <w:tr w:rsidR="00A3775C" w:rsidRPr="004A2DDF" w:rsidTr="00A3775C">
        <w:trPr>
          <w:trHeight w:val="765"/>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Numero assistiti presso i Dipartimenti di Salute Mentale (DSM) x 1.000 residenti - GRIGLIA LEA</w:t>
            </w:r>
          </w:p>
        </w:tc>
        <w:tc>
          <w:tcPr>
            <w:tcW w:w="54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20,57</w:t>
            </w:r>
          </w:p>
        </w:tc>
        <w:tc>
          <w:tcPr>
            <w:tcW w:w="72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19,56</w:t>
            </w:r>
          </w:p>
        </w:tc>
        <w:tc>
          <w:tcPr>
            <w:tcW w:w="744"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20,1</w:t>
            </w:r>
          </w:p>
        </w:tc>
        <w:tc>
          <w:tcPr>
            <w:tcW w:w="622" w:type="pct"/>
            <w:tcBorders>
              <w:top w:val="nil"/>
              <w:left w:val="nil"/>
              <w:bottom w:val="single" w:sz="4" w:space="0" w:color="auto"/>
              <w:right w:val="single" w:sz="4" w:space="0" w:color="auto"/>
            </w:tcBorders>
            <w:shd w:val="clear" w:color="000000" w:fill="00B050"/>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imes New Roman"/>
                <w:color w:val="000000"/>
                <w:sz w:val="20"/>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A3775C" w:rsidRPr="004A2DDF" w:rsidTr="00A3775C">
        <w:trPr>
          <w:trHeight w:val="765"/>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Tasso std di prevalenza x 1000 residenti nei servizi Neuropsichiatria Infantile</w:t>
            </w:r>
          </w:p>
        </w:tc>
        <w:tc>
          <w:tcPr>
            <w:tcW w:w="54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78,62</w:t>
            </w:r>
          </w:p>
        </w:tc>
        <w:tc>
          <w:tcPr>
            <w:tcW w:w="72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80,71</w:t>
            </w:r>
          </w:p>
        </w:tc>
        <w:tc>
          <w:tcPr>
            <w:tcW w:w="744"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87,24</w:t>
            </w:r>
          </w:p>
        </w:tc>
        <w:tc>
          <w:tcPr>
            <w:tcW w:w="622" w:type="pct"/>
            <w:tcBorders>
              <w:top w:val="nil"/>
              <w:left w:val="nil"/>
              <w:bottom w:val="single" w:sz="4" w:space="0" w:color="auto"/>
              <w:right w:val="single" w:sz="4" w:space="0" w:color="auto"/>
            </w:tcBorders>
            <w:shd w:val="clear" w:color="000000" w:fill="00B050"/>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imes New Roman"/>
                <w:color w:val="000000"/>
                <w:sz w:val="20"/>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A3775C" w:rsidRPr="004A2DDF" w:rsidTr="00A3775C">
        <w:trPr>
          <w:trHeight w:val="765"/>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Volume di prestazioni di specialistica ambulatoriale: diagnostica</w:t>
            </w:r>
          </w:p>
        </w:tc>
        <w:tc>
          <w:tcPr>
            <w:tcW w:w="54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6839955</w:t>
            </w:r>
          </w:p>
        </w:tc>
        <w:tc>
          <w:tcPr>
            <w:tcW w:w="72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882352</w:t>
            </w:r>
          </w:p>
        </w:tc>
        <w:tc>
          <w:tcPr>
            <w:tcW w:w="744"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797511</w:t>
            </w:r>
          </w:p>
        </w:tc>
        <w:tc>
          <w:tcPr>
            <w:tcW w:w="622" w:type="pct"/>
            <w:tcBorders>
              <w:top w:val="nil"/>
              <w:left w:val="nil"/>
              <w:bottom w:val="single" w:sz="4" w:space="0" w:color="auto"/>
              <w:right w:val="single" w:sz="4" w:space="0" w:color="auto"/>
            </w:tcBorders>
            <w:shd w:val="clear" w:color="000000" w:fill="0070C0"/>
            <w:noWrap/>
            <w:vAlign w:val="bottom"/>
            <w:hideMark/>
          </w:tcPr>
          <w:p w:rsidR="00A3775C" w:rsidRPr="004A2DDF" w:rsidRDefault="00A3775C" w:rsidP="00A3775C">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noWrap/>
            <w:vAlign w:val="bottom"/>
            <w:hideMark/>
          </w:tcPr>
          <w:p w:rsidR="00A3775C" w:rsidRPr="004A2DDF" w:rsidRDefault="00A3775C" w:rsidP="00A3775C">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r w:rsidR="00A3775C" w:rsidRPr="004A2DDF" w:rsidTr="00A3775C">
        <w:trPr>
          <w:trHeight w:val="765"/>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Volume di prestazioni di specialistica ambulatoriale: visite</w:t>
            </w:r>
          </w:p>
        </w:tc>
        <w:tc>
          <w:tcPr>
            <w:tcW w:w="54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6519422</w:t>
            </w:r>
          </w:p>
        </w:tc>
        <w:tc>
          <w:tcPr>
            <w:tcW w:w="72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688583</w:t>
            </w:r>
          </w:p>
        </w:tc>
        <w:tc>
          <w:tcPr>
            <w:tcW w:w="744"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622887</w:t>
            </w:r>
          </w:p>
        </w:tc>
        <w:tc>
          <w:tcPr>
            <w:tcW w:w="622" w:type="pct"/>
            <w:tcBorders>
              <w:top w:val="nil"/>
              <w:left w:val="nil"/>
              <w:bottom w:val="single" w:sz="4" w:space="0" w:color="auto"/>
              <w:right w:val="single" w:sz="4" w:space="0" w:color="auto"/>
            </w:tcBorders>
            <w:shd w:val="clear" w:color="000000" w:fill="0070C0"/>
            <w:noWrap/>
            <w:vAlign w:val="bottom"/>
            <w:hideMark/>
          </w:tcPr>
          <w:p w:rsidR="00A3775C" w:rsidRPr="004A2DDF" w:rsidRDefault="00A3775C" w:rsidP="00A3775C">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noWrap/>
            <w:vAlign w:val="bottom"/>
            <w:hideMark/>
          </w:tcPr>
          <w:p w:rsidR="00A3775C" w:rsidRPr="004A2DDF" w:rsidRDefault="00A3775C" w:rsidP="00A3775C">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r w:rsidR="00A3775C" w:rsidRPr="004A2DDF" w:rsidTr="00A3775C">
        <w:trPr>
          <w:trHeight w:val="1020"/>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Volume di prestazioni di specialistica ambulatoriale: laboratorio</w:t>
            </w:r>
          </w:p>
        </w:tc>
        <w:tc>
          <w:tcPr>
            <w:tcW w:w="54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46157827</w:t>
            </w:r>
          </w:p>
        </w:tc>
        <w:tc>
          <w:tcPr>
            <w:tcW w:w="723"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6786151</w:t>
            </w:r>
          </w:p>
        </w:tc>
        <w:tc>
          <w:tcPr>
            <w:tcW w:w="744" w:type="pct"/>
            <w:tcBorders>
              <w:top w:val="nil"/>
              <w:left w:val="nil"/>
              <w:bottom w:val="single" w:sz="4" w:space="0" w:color="auto"/>
              <w:right w:val="single" w:sz="4" w:space="0" w:color="auto"/>
            </w:tcBorders>
            <w:shd w:val="clear" w:color="auto" w:fill="auto"/>
            <w:vAlign w:val="center"/>
            <w:hideMark/>
          </w:tcPr>
          <w:p w:rsidR="00A3775C" w:rsidRPr="004A2DDF" w:rsidRDefault="00A3775C" w:rsidP="00A3775C">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7027584</w:t>
            </w:r>
          </w:p>
        </w:tc>
        <w:tc>
          <w:tcPr>
            <w:tcW w:w="622" w:type="pct"/>
            <w:tcBorders>
              <w:top w:val="nil"/>
              <w:left w:val="nil"/>
              <w:bottom w:val="single" w:sz="4" w:space="0" w:color="auto"/>
              <w:right w:val="single" w:sz="4" w:space="0" w:color="auto"/>
            </w:tcBorders>
            <w:shd w:val="clear" w:color="000000" w:fill="0070C0"/>
            <w:noWrap/>
            <w:vAlign w:val="bottom"/>
            <w:hideMark/>
          </w:tcPr>
          <w:p w:rsidR="00A3775C" w:rsidRPr="004A2DDF" w:rsidRDefault="00A3775C" w:rsidP="00A3775C">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noWrap/>
            <w:vAlign w:val="bottom"/>
            <w:hideMark/>
          </w:tcPr>
          <w:p w:rsidR="00A3775C" w:rsidRPr="004A2DDF" w:rsidRDefault="00A3775C" w:rsidP="00A3775C">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r>
    </w:tbl>
    <w:p w:rsidR="00A3775C" w:rsidRPr="004A2DDF" w:rsidRDefault="00A3775C" w:rsidP="00A3775C">
      <w:pPr>
        <w:ind w:right="284"/>
        <w:jc w:val="both"/>
        <w:rPr>
          <w:rFonts w:eastAsia="Calibri"/>
          <w:sz w:val="16"/>
          <w:lang w:eastAsia="en-US"/>
        </w:rPr>
      </w:pPr>
      <w:r w:rsidRPr="004A2DDF">
        <w:rPr>
          <w:rFonts w:eastAsia="Calibri"/>
          <w:sz w:val="16"/>
          <w:lang w:eastAsia="en-US"/>
        </w:rPr>
        <w:t>Fonte: Regione Emilia Romagna, INSIDER, 2017.</w:t>
      </w:r>
    </w:p>
    <w:p w:rsidR="00E27519" w:rsidRDefault="00E27519">
      <w:pPr>
        <w:spacing w:after="120"/>
        <w:contextualSpacing/>
        <w:jc w:val="both"/>
        <w:rPr>
          <w:rFonts w:eastAsia="Calibri"/>
          <w:sz w:val="20"/>
          <w:lang w:eastAsia="en-US"/>
        </w:rPr>
      </w:pPr>
    </w:p>
    <w:p w:rsidR="00B61840" w:rsidRDefault="00B61840">
      <w:pPr>
        <w:spacing w:after="120"/>
        <w:contextualSpacing/>
        <w:jc w:val="both"/>
        <w:rPr>
          <w:rFonts w:eastAsia="Calibri"/>
          <w:sz w:val="20"/>
          <w:lang w:eastAsia="en-US"/>
        </w:rPr>
      </w:pPr>
    </w:p>
    <w:p w:rsidR="00B61840" w:rsidRDefault="00B61840">
      <w:pPr>
        <w:spacing w:after="120"/>
        <w:contextualSpacing/>
        <w:jc w:val="both"/>
        <w:rPr>
          <w:rFonts w:eastAsia="Calibri"/>
          <w:sz w:val="20"/>
          <w:lang w:eastAsia="en-US"/>
        </w:rPr>
      </w:pPr>
    </w:p>
    <w:p w:rsidR="00B61840" w:rsidRDefault="00B61840">
      <w:pPr>
        <w:spacing w:after="120"/>
        <w:contextualSpacing/>
        <w:jc w:val="both"/>
        <w:rPr>
          <w:rFonts w:eastAsia="Calibri"/>
          <w:sz w:val="20"/>
          <w:lang w:eastAsia="en-US"/>
        </w:rPr>
      </w:pPr>
    </w:p>
    <w:p w:rsidR="00B61840" w:rsidRDefault="00B61840">
      <w:pPr>
        <w:spacing w:after="120"/>
        <w:contextualSpacing/>
        <w:jc w:val="both"/>
        <w:rPr>
          <w:rFonts w:eastAsia="Calibri"/>
          <w:sz w:val="20"/>
          <w:lang w:eastAsia="en-US"/>
        </w:rPr>
      </w:pPr>
    </w:p>
    <w:p w:rsidR="00B61840" w:rsidRPr="004A2DDF" w:rsidRDefault="00B61840">
      <w:pPr>
        <w:spacing w:after="120"/>
        <w:contextualSpacing/>
        <w:jc w:val="both"/>
        <w:rPr>
          <w:rFonts w:eastAsia="Calibri"/>
          <w:sz w:val="20"/>
          <w:lang w:eastAsia="en-US"/>
        </w:rPr>
      </w:pPr>
    </w:p>
    <w:p w:rsidR="00E27519" w:rsidRPr="004A2DDF" w:rsidRDefault="00E27519">
      <w:pPr>
        <w:spacing w:after="120"/>
        <w:contextualSpacing/>
        <w:jc w:val="both"/>
        <w:rPr>
          <w:rFonts w:eastAsia="Calibri"/>
          <w:sz w:val="20"/>
          <w:lang w:eastAsia="en-US"/>
        </w:rPr>
      </w:pPr>
    </w:p>
    <w:p w:rsidR="00E27519" w:rsidRPr="004A2DDF" w:rsidRDefault="0003178C">
      <w:pPr>
        <w:spacing w:after="120"/>
        <w:contextualSpacing/>
        <w:jc w:val="both"/>
        <w:rPr>
          <w:rFonts w:eastAsia="Calibri"/>
          <w:sz w:val="20"/>
          <w:lang w:eastAsia="en-US"/>
        </w:rPr>
      </w:pPr>
      <w:r w:rsidRPr="004A2DDF">
        <w:rPr>
          <w:rFonts w:eastAsia="Calibri"/>
          <w:sz w:val="20"/>
          <w:lang w:eastAsia="en-US"/>
        </w:rPr>
        <w:t>Produzione-Prevenzione</w:t>
      </w:r>
    </w:p>
    <w:tbl>
      <w:tblPr>
        <w:tblW w:w="5000" w:type="pct"/>
        <w:tblCellMar>
          <w:left w:w="70" w:type="dxa"/>
          <w:right w:w="70" w:type="dxa"/>
        </w:tblCellMar>
        <w:tblLook w:val="04A0" w:firstRow="1" w:lastRow="0" w:firstColumn="1" w:lastColumn="0" w:noHBand="0" w:noVBand="1"/>
      </w:tblPr>
      <w:tblGrid>
        <w:gridCol w:w="3618"/>
        <w:gridCol w:w="1046"/>
        <w:gridCol w:w="1415"/>
        <w:gridCol w:w="1460"/>
        <w:gridCol w:w="1613"/>
        <w:gridCol w:w="1044"/>
      </w:tblGrid>
      <w:tr w:rsidR="00AF5FD3" w:rsidRPr="004A2DDF" w:rsidTr="00AF5FD3">
        <w:trPr>
          <w:trHeight w:val="510"/>
        </w:trPr>
        <w:tc>
          <w:tcPr>
            <w:tcW w:w="1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Indicatore</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color w:val="000000"/>
                <w:sz w:val="20"/>
                <w:lang w:eastAsia="it-IT" w:bidi="ar-SA"/>
              </w:rPr>
            </w:pPr>
            <w:r w:rsidRPr="004A2DDF">
              <w:rPr>
                <w:rFonts w:cs="Tahoma"/>
                <w:color w:val="000000"/>
                <w:sz w:val="20"/>
                <w:lang w:eastAsia="it-IT" w:bidi="ar-SA"/>
              </w:rPr>
              <w:t>Valore Regionale</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AUSL MO 2016</w:t>
            </w:r>
          </w:p>
        </w:tc>
        <w:tc>
          <w:tcPr>
            <w:tcW w:w="716" w:type="pct"/>
            <w:tcBorders>
              <w:top w:val="single" w:sz="4" w:space="0" w:color="auto"/>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AUSL MO 2017</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color w:val="000000"/>
                <w:sz w:val="20"/>
                <w:lang w:eastAsia="it-IT" w:bidi="ar-SA"/>
              </w:rPr>
            </w:pPr>
            <w:r w:rsidRPr="004A2DDF">
              <w:rPr>
                <w:rFonts w:cs="Times New Roman"/>
                <w:color w:val="000000"/>
                <w:sz w:val="20"/>
                <w:lang w:eastAsia="it-IT" w:bidi="ar-SA"/>
              </w:rPr>
              <w:t>Valutazione 2017</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color w:val="000000"/>
                <w:sz w:val="20"/>
                <w:lang w:eastAsia="it-IT" w:bidi="ar-SA"/>
              </w:rPr>
            </w:pPr>
            <w:r w:rsidRPr="004A2DDF">
              <w:rPr>
                <w:rFonts w:cs="Times New Roman"/>
                <w:color w:val="000000"/>
                <w:sz w:val="20"/>
                <w:lang w:eastAsia="it-IT" w:bidi="ar-SA"/>
              </w:rPr>
              <w:t>Trend</w:t>
            </w:r>
          </w:p>
        </w:tc>
      </w:tr>
      <w:tr w:rsidR="00AF5FD3" w:rsidRPr="004A2DDF" w:rsidTr="00AF5FD3">
        <w:trPr>
          <w:trHeight w:val="765"/>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 di fumatori consigliati dal medico o altro operatore sanitario di smettere di fumare</w:t>
            </w:r>
          </w:p>
        </w:tc>
        <w:tc>
          <w:tcPr>
            <w:tcW w:w="513"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49,1</w:t>
            </w:r>
          </w:p>
        </w:tc>
        <w:tc>
          <w:tcPr>
            <w:tcW w:w="694"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49,3</w:t>
            </w:r>
          </w:p>
        </w:tc>
        <w:tc>
          <w:tcPr>
            <w:tcW w:w="716"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49,1</w:t>
            </w:r>
          </w:p>
        </w:tc>
        <w:tc>
          <w:tcPr>
            <w:tcW w:w="791" w:type="pct"/>
            <w:tcBorders>
              <w:top w:val="nil"/>
              <w:left w:val="nil"/>
              <w:bottom w:val="single" w:sz="4" w:space="0" w:color="auto"/>
              <w:right w:val="single" w:sz="4" w:space="0" w:color="auto"/>
            </w:tcBorders>
            <w:shd w:val="clear" w:color="000000" w:fill="FFFF00"/>
            <w:noWrap/>
            <w:vAlign w:val="bottom"/>
            <w:hideMark/>
          </w:tcPr>
          <w:p w:rsidR="00AF5FD3" w:rsidRPr="004A2DDF" w:rsidRDefault="00AF5FD3" w:rsidP="00AF5FD3">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12"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AF5FD3" w:rsidRPr="004A2DDF" w:rsidTr="00AF5FD3">
        <w:trPr>
          <w:trHeight w:val="765"/>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 di persone intervistate consigliate dal medico o altro operatore sanitario di fare attivita fisica</w:t>
            </w:r>
          </w:p>
        </w:tc>
        <w:tc>
          <w:tcPr>
            <w:tcW w:w="513"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35,1</w:t>
            </w:r>
          </w:p>
        </w:tc>
        <w:tc>
          <w:tcPr>
            <w:tcW w:w="694"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33,2</w:t>
            </w:r>
          </w:p>
        </w:tc>
        <w:tc>
          <w:tcPr>
            <w:tcW w:w="716"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33,2</w:t>
            </w:r>
          </w:p>
        </w:tc>
        <w:tc>
          <w:tcPr>
            <w:tcW w:w="791" w:type="pct"/>
            <w:tcBorders>
              <w:top w:val="nil"/>
              <w:left w:val="nil"/>
              <w:bottom w:val="nil"/>
              <w:right w:val="nil"/>
            </w:tcBorders>
            <w:shd w:val="clear" w:color="000000" w:fill="92D050"/>
            <w:noWrap/>
            <w:vAlign w:val="bottom"/>
            <w:hideMark/>
          </w:tcPr>
          <w:p w:rsidR="00AF5FD3" w:rsidRPr="004A2DDF" w:rsidRDefault="00AF5FD3" w:rsidP="00AF5FD3">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12" w:type="pct"/>
            <w:tcBorders>
              <w:top w:val="nil"/>
              <w:left w:val="single" w:sz="4" w:space="0" w:color="auto"/>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sz w:val="36"/>
                <w:szCs w:val="36"/>
                <w:lang w:eastAsia="it-IT" w:bidi="ar-SA"/>
              </w:rPr>
            </w:pPr>
            <w:r w:rsidRPr="004A2DDF">
              <w:rPr>
                <w:rFonts w:cs="Times New Roman"/>
                <w:sz w:val="36"/>
                <w:szCs w:val="36"/>
                <w:lang w:eastAsia="it-IT" w:bidi="ar-SA"/>
              </w:rPr>
              <w:t>=</w:t>
            </w:r>
          </w:p>
        </w:tc>
      </w:tr>
      <w:tr w:rsidR="00AF5FD3" w:rsidRPr="004A2DDF" w:rsidTr="00AF5FD3">
        <w:trPr>
          <w:trHeight w:val="765"/>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lastRenderedPageBreak/>
              <w:t>% di donne che hanno partecipato allo screening mammografico rispetto alle donne invitate</w:t>
            </w:r>
          </w:p>
        </w:tc>
        <w:tc>
          <w:tcPr>
            <w:tcW w:w="513"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75,65</w:t>
            </w:r>
          </w:p>
        </w:tc>
        <w:tc>
          <w:tcPr>
            <w:tcW w:w="694"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85,42</w:t>
            </w:r>
          </w:p>
        </w:tc>
        <w:tc>
          <w:tcPr>
            <w:tcW w:w="716"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82,01</w:t>
            </w:r>
          </w:p>
        </w:tc>
        <w:tc>
          <w:tcPr>
            <w:tcW w:w="791" w:type="pct"/>
            <w:tcBorders>
              <w:top w:val="single" w:sz="4" w:space="0" w:color="auto"/>
              <w:left w:val="nil"/>
              <w:bottom w:val="single" w:sz="4" w:space="0" w:color="auto"/>
              <w:right w:val="single" w:sz="4" w:space="0" w:color="auto"/>
            </w:tcBorders>
            <w:shd w:val="clear" w:color="000000" w:fill="00B050"/>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imes New Roman"/>
                <w:color w:val="000000"/>
                <w:sz w:val="20"/>
                <w:lang w:eastAsia="it-IT" w:bidi="ar-SA"/>
              </w:rPr>
              <w:t> </w:t>
            </w:r>
          </w:p>
        </w:tc>
        <w:tc>
          <w:tcPr>
            <w:tcW w:w="512"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AF5FD3" w:rsidRPr="004A2DDF" w:rsidTr="00AF5FD3">
        <w:trPr>
          <w:trHeight w:val="765"/>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 di persone che hanno partecipato allo screening colorettale rispetto alle persone invitate</w:t>
            </w:r>
          </w:p>
        </w:tc>
        <w:tc>
          <w:tcPr>
            <w:tcW w:w="513"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49,03</w:t>
            </w:r>
          </w:p>
        </w:tc>
        <w:tc>
          <w:tcPr>
            <w:tcW w:w="694"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45,64</w:t>
            </w:r>
          </w:p>
        </w:tc>
        <w:tc>
          <w:tcPr>
            <w:tcW w:w="716"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49,93</w:t>
            </w:r>
          </w:p>
        </w:tc>
        <w:tc>
          <w:tcPr>
            <w:tcW w:w="791" w:type="pct"/>
            <w:tcBorders>
              <w:top w:val="nil"/>
              <w:left w:val="nil"/>
              <w:bottom w:val="single" w:sz="4" w:space="0" w:color="auto"/>
              <w:right w:val="single" w:sz="4" w:space="0" w:color="auto"/>
            </w:tcBorders>
            <w:shd w:val="clear" w:color="000000" w:fill="FFFF00"/>
            <w:noWrap/>
            <w:vAlign w:val="bottom"/>
            <w:hideMark/>
          </w:tcPr>
          <w:p w:rsidR="00AF5FD3" w:rsidRPr="004A2DDF" w:rsidRDefault="00AF5FD3" w:rsidP="00AF5FD3">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12"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AF5FD3" w:rsidRPr="004A2DDF" w:rsidTr="00AF5FD3">
        <w:trPr>
          <w:trHeight w:val="1020"/>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Copertura vaccinale antinfluenzale negli anziani - GRIGLIA LEA</w:t>
            </w:r>
          </w:p>
        </w:tc>
        <w:tc>
          <w:tcPr>
            <w:tcW w:w="513"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53,25</w:t>
            </w:r>
          </w:p>
        </w:tc>
        <w:tc>
          <w:tcPr>
            <w:tcW w:w="694"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55,17</w:t>
            </w:r>
          </w:p>
        </w:tc>
        <w:tc>
          <w:tcPr>
            <w:tcW w:w="716"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55,42</w:t>
            </w:r>
          </w:p>
        </w:tc>
        <w:tc>
          <w:tcPr>
            <w:tcW w:w="791" w:type="pct"/>
            <w:tcBorders>
              <w:top w:val="nil"/>
              <w:left w:val="nil"/>
              <w:bottom w:val="single" w:sz="4" w:space="0" w:color="auto"/>
              <w:right w:val="single" w:sz="4" w:space="0" w:color="auto"/>
            </w:tcBorders>
            <w:shd w:val="clear" w:color="000000" w:fill="FFC000"/>
            <w:noWrap/>
            <w:vAlign w:val="bottom"/>
            <w:hideMark/>
          </w:tcPr>
          <w:p w:rsidR="00AF5FD3" w:rsidRPr="004A2DDF" w:rsidRDefault="00AF5FD3" w:rsidP="00AF5FD3">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12"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AF5FD3" w:rsidRPr="004A2DDF" w:rsidTr="00AF5FD3">
        <w:trPr>
          <w:trHeight w:val="1020"/>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Copertura vaccinale esavalente a 24 mesi nei bambini - GRIGLIA LEA</w:t>
            </w:r>
          </w:p>
        </w:tc>
        <w:tc>
          <w:tcPr>
            <w:tcW w:w="513"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94,03</w:t>
            </w:r>
          </w:p>
        </w:tc>
        <w:tc>
          <w:tcPr>
            <w:tcW w:w="694"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92,65</w:t>
            </w:r>
          </w:p>
        </w:tc>
        <w:tc>
          <w:tcPr>
            <w:tcW w:w="716"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94,56</w:t>
            </w:r>
          </w:p>
        </w:tc>
        <w:tc>
          <w:tcPr>
            <w:tcW w:w="791" w:type="pct"/>
            <w:tcBorders>
              <w:top w:val="nil"/>
              <w:left w:val="nil"/>
              <w:bottom w:val="single" w:sz="4" w:space="0" w:color="auto"/>
              <w:right w:val="single" w:sz="4" w:space="0" w:color="auto"/>
            </w:tcBorders>
            <w:shd w:val="clear" w:color="000000" w:fill="FFFF00"/>
            <w:noWrap/>
            <w:vAlign w:val="bottom"/>
            <w:hideMark/>
          </w:tcPr>
          <w:p w:rsidR="00AF5FD3" w:rsidRPr="004A2DDF" w:rsidRDefault="00AF5FD3" w:rsidP="00AF5FD3">
            <w:pPr>
              <w:suppressAutoHyphens w:val="0"/>
              <w:spacing w:before="0" w:after="0" w:line="240" w:lineRule="auto"/>
              <w:rPr>
                <w:rFonts w:cs="Times New Roman"/>
                <w:color w:val="000000"/>
                <w:szCs w:val="22"/>
                <w:lang w:eastAsia="it-IT" w:bidi="ar-SA"/>
              </w:rPr>
            </w:pPr>
            <w:r w:rsidRPr="004A2DDF">
              <w:rPr>
                <w:rFonts w:cs="Times New Roman"/>
                <w:color w:val="000000"/>
                <w:szCs w:val="22"/>
                <w:lang w:eastAsia="it-IT" w:bidi="ar-SA"/>
              </w:rPr>
              <w:t> </w:t>
            </w:r>
          </w:p>
        </w:tc>
        <w:tc>
          <w:tcPr>
            <w:tcW w:w="512"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r w:rsidR="00AF5FD3" w:rsidRPr="004A2DDF" w:rsidTr="00AF5FD3">
        <w:trPr>
          <w:trHeight w:val="1275"/>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 aziende con dipendenti ispezionate - GRIGLIA LEA</w:t>
            </w:r>
          </w:p>
        </w:tc>
        <w:tc>
          <w:tcPr>
            <w:tcW w:w="513"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9,79</w:t>
            </w:r>
          </w:p>
        </w:tc>
        <w:tc>
          <w:tcPr>
            <w:tcW w:w="694"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10,14</w:t>
            </w:r>
          </w:p>
        </w:tc>
        <w:tc>
          <w:tcPr>
            <w:tcW w:w="716"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9,6</w:t>
            </w:r>
          </w:p>
        </w:tc>
        <w:tc>
          <w:tcPr>
            <w:tcW w:w="791" w:type="pct"/>
            <w:tcBorders>
              <w:top w:val="nil"/>
              <w:left w:val="nil"/>
              <w:bottom w:val="single" w:sz="4" w:space="0" w:color="auto"/>
              <w:right w:val="single" w:sz="4" w:space="0" w:color="auto"/>
            </w:tcBorders>
            <w:shd w:val="clear" w:color="000000" w:fill="00B050"/>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imes New Roman"/>
                <w:color w:val="000000"/>
                <w:sz w:val="20"/>
                <w:lang w:eastAsia="it-IT" w:bidi="ar-SA"/>
              </w:rPr>
              <w:t> </w:t>
            </w:r>
          </w:p>
        </w:tc>
        <w:tc>
          <w:tcPr>
            <w:tcW w:w="512"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color w:val="FF0000"/>
                <w:sz w:val="36"/>
                <w:szCs w:val="36"/>
                <w:lang w:eastAsia="it-IT" w:bidi="ar-SA"/>
              </w:rPr>
            </w:pPr>
            <w:r w:rsidRPr="004A2DDF">
              <w:rPr>
                <w:rFonts w:cs="Times New Roman"/>
                <w:color w:val="FF0000"/>
                <w:sz w:val="36"/>
                <w:szCs w:val="36"/>
                <w:lang w:eastAsia="it-IT" w:bidi="ar-SA"/>
              </w:rPr>
              <w:t>↓</w:t>
            </w:r>
          </w:p>
        </w:tc>
      </w:tr>
      <w:tr w:rsidR="00AF5FD3" w:rsidRPr="004A2DDF" w:rsidTr="00AF5FD3">
        <w:trPr>
          <w:trHeight w:val="765"/>
        </w:trPr>
        <w:tc>
          <w:tcPr>
            <w:tcW w:w="1774" w:type="pct"/>
            <w:tcBorders>
              <w:top w:val="nil"/>
              <w:left w:val="single" w:sz="4" w:space="0" w:color="auto"/>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rPr>
                <w:rFonts w:cs="Times New Roman"/>
                <w:color w:val="000000"/>
                <w:sz w:val="20"/>
                <w:lang w:eastAsia="it-IT" w:bidi="ar-SA"/>
              </w:rPr>
            </w:pPr>
            <w:r w:rsidRPr="004A2DDF">
              <w:rPr>
                <w:rFonts w:cs="Tahoma"/>
                <w:color w:val="000000"/>
                <w:sz w:val="20"/>
                <w:lang w:eastAsia="it-IT" w:bidi="ar-SA"/>
              </w:rPr>
              <w:t>Sorveglianza delle malattie infettive degli allevamenti</w:t>
            </w:r>
          </w:p>
        </w:tc>
        <w:tc>
          <w:tcPr>
            <w:tcW w:w="513"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100</w:t>
            </w:r>
          </w:p>
        </w:tc>
        <w:tc>
          <w:tcPr>
            <w:tcW w:w="694"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99,43</w:t>
            </w:r>
          </w:p>
        </w:tc>
        <w:tc>
          <w:tcPr>
            <w:tcW w:w="716"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ahoma"/>
                <w:color w:val="000000"/>
                <w:sz w:val="20"/>
                <w:lang w:eastAsia="it-IT" w:bidi="ar-SA"/>
              </w:rPr>
              <w:t>100</w:t>
            </w:r>
          </w:p>
        </w:tc>
        <w:tc>
          <w:tcPr>
            <w:tcW w:w="791" w:type="pct"/>
            <w:tcBorders>
              <w:top w:val="nil"/>
              <w:left w:val="nil"/>
              <w:bottom w:val="single" w:sz="4" w:space="0" w:color="auto"/>
              <w:right w:val="single" w:sz="4" w:space="0" w:color="auto"/>
            </w:tcBorders>
            <w:shd w:val="clear" w:color="000000" w:fill="00B050"/>
            <w:vAlign w:val="center"/>
            <w:hideMark/>
          </w:tcPr>
          <w:p w:rsidR="00AF5FD3" w:rsidRPr="004A2DDF" w:rsidRDefault="00AF5FD3" w:rsidP="00AF5FD3">
            <w:pPr>
              <w:suppressAutoHyphens w:val="0"/>
              <w:spacing w:before="0" w:after="0" w:line="240" w:lineRule="auto"/>
              <w:jc w:val="right"/>
              <w:rPr>
                <w:rFonts w:cs="Times New Roman"/>
                <w:color w:val="000000"/>
                <w:sz w:val="20"/>
                <w:lang w:eastAsia="it-IT" w:bidi="ar-SA"/>
              </w:rPr>
            </w:pPr>
            <w:r w:rsidRPr="004A2DDF">
              <w:rPr>
                <w:rFonts w:cs="Times New Roman"/>
                <w:color w:val="000000"/>
                <w:sz w:val="20"/>
                <w:lang w:eastAsia="it-IT" w:bidi="ar-SA"/>
              </w:rPr>
              <w:t> </w:t>
            </w:r>
          </w:p>
        </w:tc>
        <w:tc>
          <w:tcPr>
            <w:tcW w:w="512" w:type="pct"/>
            <w:tcBorders>
              <w:top w:val="nil"/>
              <w:left w:val="nil"/>
              <w:bottom w:val="single" w:sz="4" w:space="0" w:color="auto"/>
              <w:right w:val="single" w:sz="4" w:space="0" w:color="auto"/>
            </w:tcBorders>
            <w:shd w:val="clear" w:color="auto" w:fill="auto"/>
            <w:vAlign w:val="center"/>
            <w:hideMark/>
          </w:tcPr>
          <w:p w:rsidR="00AF5FD3" w:rsidRPr="004A2DDF" w:rsidRDefault="00AF5FD3" w:rsidP="00AF5FD3">
            <w:pPr>
              <w:suppressAutoHyphens w:val="0"/>
              <w:spacing w:before="0" w:after="0" w:line="240" w:lineRule="auto"/>
              <w:jc w:val="center"/>
              <w:rPr>
                <w:rFonts w:cs="Times New Roman"/>
                <w:color w:val="00B050"/>
                <w:sz w:val="36"/>
                <w:szCs w:val="36"/>
                <w:lang w:eastAsia="it-IT" w:bidi="ar-SA"/>
              </w:rPr>
            </w:pPr>
            <w:r w:rsidRPr="004A2DDF">
              <w:rPr>
                <w:rFonts w:cs="Times New Roman"/>
                <w:color w:val="00B050"/>
                <w:sz w:val="36"/>
                <w:szCs w:val="36"/>
                <w:lang w:eastAsia="it-IT" w:bidi="ar-SA"/>
              </w:rPr>
              <w:t>↑</w:t>
            </w:r>
          </w:p>
        </w:tc>
      </w:tr>
    </w:tbl>
    <w:p w:rsidR="00AF5FD3" w:rsidRPr="004A2DDF" w:rsidRDefault="00AF5FD3" w:rsidP="00AF5FD3">
      <w:pPr>
        <w:ind w:right="284"/>
        <w:jc w:val="both"/>
        <w:rPr>
          <w:rFonts w:eastAsia="Calibri"/>
          <w:sz w:val="16"/>
          <w:lang w:eastAsia="en-US"/>
        </w:rPr>
      </w:pPr>
      <w:r w:rsidRPr="004A2DDF">
        <w:rPr>
          <w:rFonts w:eastAsia="Calibri"/>
          <w:sz w:val="16"/>
          <w:lang w:eastAsia="en-US"/>
        </w:rPr>
        <w:t>Fonte: Regione Emilia Romagna, INSIDER, 2017.</w:t>
      </w:r>
    </w:p>
    <w:p w:rsidR="00E27519" w:rsidRPr="004A2DDF" w:rsidRDefault="00E27519">
      <w:pPr>
        <w:spacing w:after="120"/>
        <w:contextualSpacing/>
        <w:jc w:val="both"/>
        <w:rPr>
          <w:rFonts w:eastAsia="Calibri"/>
          <w:sz w:val="20"/>
          <w:lang w:eastAsia="en-US"/>
        </w:rPr>
      </w:pPr>
    </w:p>
    <w:p w:rsidR="00E27519" w:rsidRPr="004A2DDF" w:rsidRDefault="0003178C">
      <w:pPr>
        <w:spacing w:after="120"/>
        <w:contextualSpacing/>
        <w:jc w:val="both"/>
        <w:rPr>
          <w:rFonts w:eastAsia="Calibri"/>
          <w:sz w:val="20"/>
          <w:lang w:eastAsia="en-US"/>
        </w:rPr>
      </w:pPr>
      <w:r w:rsidRPr="004A2DDF">
        <w:rPr>
          <w:rFonts w:eastAsia="Calibri"/>
          <w:sz w:val="20"/>
          <w:lang w:eastAsia="en-US"/>
        </w:rPr>
        <w:t>La dimensione della Produzione-Prevenzione mostra un andamento dell’Azienda USL di Modena buono e ottimo in alcuni indicatori, con invece un valore scarso (arancione) sulla Copertura vaccinale antinfluenzale negli</w:t>
      </w:r>
      <w:r w:rsidR="00AB4E88" w:rsidRPr="004A2DDF">
        <w:rPr>
          <w:rFonts w:eastAsia="Calibri"/>
          <w:sz w:val="20"/>
          <w:lang w:eastAsia="en-US"/>
        </w:rPr>
        <w:t xml:space="preserve"> anziani - GRIGLIA LEA (MO 55.42 – RER 53,25</w:t>
      </w:r>
      <w:r w:rsidRPr="004A2DDF">
        <w:rPr>
          <w:rFonts w:eastAsia="Calibri"/>
          <w:sz w:val="20"/>
          <w:lang w:eastAsia="en-US"/>
        </w:rPr>
        <w:t>) e un valore medio (giallo) relativamente a:</w:t>
      </w:r>
    </w:p>
    <w:p w:rsidR="00E27519" w:rsidRPr="004A2DDF" w:rsidRDefault="0003178C">
      <w:pPr>
        <w:pStyle w:val="Paragrafoelenco2"/>
        <w:numPr>
          <w:ilvl w:val="0"/>
          <w:numId w:val="31"/>
        </w:numPr>
        <w:spacing w:after="120"/>
        <w:jc w:val="both"/>
        <w:rPr>
          <w:rFonts w:eastAsia="Calibri"/>
          <w:lang w:eastAsia="en-US"/>
        </w:rPr>
      </w:pPr>
      <w:r w:rsidRPr="004A2DDF">
        <w:rPr>
          <w:rFonts w:asciiTheme="minorHAnsi" w:eastAsia="Calibri" w:hAnsiTheme="minorHAnsi"/>
          <w:lang w:eastAsia="en-US"/>
        </w:rPr>
        <w:t>% di fumatori consigliati dal medico o altro operatore sanitari</w:t>
      </w:r>
      <w:r w:rsidR="00AB4E88" w:rsidRPr="004A2DDF">
        <w:rPr>
          <w:rFonts w:asciiTheme="minorHAnsi" w:eastAsia="Calibri" w:hAnsiTheme="minorHAnsi"/>
          <w:lang w:eastAsia="en-US"/>
        </w:rPr>
        <w:t>o di smettere di fumare (MO 49,1 – RER 49,1</w:t>
      </w:r>
      <w:r w:rsidRPr="004A2DDF">
        <w:rPr>
          <w:rFonts w:asciiTheme="minorHAnsi" w:eastAsia="Calibri" w:hAnsiTheme="minorHAnsi"/>
          <w:lang w:eastAsia="en-US"/>
        </w:rPr>
        <w:t>);</w:t>
      </w:r>
    </w:p>
    <w:p w:rsidR="00E27519" w:rsidRPr="004A2DDF" w:rsidRDefault="0003178C">
      <w:pPr>
        <w:pStyle w:val="Paragrafoelenco2"/>
        <w:numPr>
          <w:ilvl w:val="0"/>
          <w:numId w:val="31"/>
        </w:numPr>
        <w:spacing w:after="120"/>
        <w:jc w:val="both"/>
        <w:rPr>
          <w:rFonts w:asciiTheme="minorHAnsi" w:eastAsia="Calibri" w:hAnsiTheme="minorHAnsi"/>
          <w:lang w:eastAsia="en-US"/>
        </w:rPr>
      </w:pPr>
      <w:r w:rsidRPr="004A2DDF">
        <w:rPr>
          <w:rFonts w:asciiTheme="minorHAnsi" w:eastAsia="Calibri" w:hAnsiTheme="minorHAnsi"/>
          <w:lang w:eastAsia="en-US"/>
        </w:rPr>
        <w:t>% di persone che hanno partecipato allo screening colonrettale rispetto</w:t>
      </w:r>
      <w:r w:rsidR="00AB4E88" w:rsidRPr="004A2DDF">
        <w:rPr>
          <w:rFonts w:asciiTheme="minorHAnsi" w:eastAsia="Calibri" w:hAnsiTheme="minorHAnsi"/>
          <w:lang w:eastAsia="en-US"/>
        </w:rPr>
        <w:t xml:space="preserve"> alle persone invitate (MO 49,93 – RER 49,03</w:t>
      </w:r>
      <w:r w:rsidRPr="004A2DDF">
        <w:rPr>
          <w:rFonts w:asciiTheme="minorHAnsi" w:eastAsia="Calibri" w:hAnsiTheme="minorHAnsi"/>
          <w:lang w:eastAsia="en-US"/>
        </w:rPr>
        <w:t>);</w:t>
      </w:r>
    </w:p>
    <w:p w:rsidR="00E27519" w:rsidRPr="004A2DDF" w:rsidRDefault="0003178C">
      <w:pPr>
        <w:pStyle w:val="Paragrafoelenco2"/>
        <w:numPr>
          <w:ilvl w:val="0"/>
          <w:numId w:val="31"/>
        </w:numPr>
        <w:spacing w:after="120"/>
        <w:jc w:val="both"/>
        <w:rPr>
          <w:rFonts w:asciiTheme="minorHAnsi" w:eastAsia="Calibri" w:hAnsiTheme="minorHAnsi"/>
          <w:lang w:eastAsia="en-US"/>
        </w:rPr>
      </w:pPr>
      <w:r w:rsidRPr="004A2DDF">
        <w:rPr>
          <w:rFonts w:asciiTheme="minorHAnsi" w:eastAsia="Calibri" w:hAnsiTheme="minorHAnsi"/>
          <w:lang w:eastAsia="en-US"/>
        </w:rPr>
        <w:t>Copertura vaccinale esavalente a 24 mesi nei</w:t>
      </w:r>
      <w:r w:rsidR="00AB4E88" w:rsidRPr="004A2DDF">
        <w:rPr>
          <w:rFonts w:asciiTheme="minorHAnsi" w:eastAsia="Calibri" w:hAnsiTheme="minorHAnsi"/>
          <w:lang w:eastAsia="en-US"/>
        </w:rPr>
        <w:t xml:space="preserve"> bambini - GRIGLIA LEA (MO 94,56 – RER 94,03</w:t>
      </w:r>
      <w:r w:rsidRPr="004A2DDF">
        <w:rPr>
          <w:rFonts w:asciiTheme="minorHAnsi" w:eastAsia="Calibri" w:hAnsiTheme="minorHAnsi"/>
          <w:lang w:eastAsia="en-US"/>
        </w:rPr>
        <w:t>).</w:t>
      </w:r>
    </w:p>
    <w:p w:rsidR="00E27519" w:rsidRDefault="0003178C">
      <w:pPr>
        <w:spacing w:after="120"/>
        <w:jc w:val="both"/>
        <w:rPr>
          <w:rFonts w:asciiTheme="minorHAnsi" w:eastAsia="Calibri" w:hAnsiTheme="minorHAnsi"/>
          <w:sz w:val="20"/>
          <w:lang w:eastAsia="en-US"/>
        </w:rPr>
      </w:pPr>
      <w:r w:rsidRPr="004A2DDF">
        <w:rPr>
          <w:rFonts w:asciiTheme="minorHAnsi" w:eastAsia="Calibri" w:hAnsiTheme="minorHAnsi"/>
          <w:sz w:val="20"/>
          <w:lang w:eastAsia="en-US"/>
        </w:rPr>
        <w:t>I dati sulla copertura vaccinale, anche se superiori alla media regionale, non raggiungono mediamente il target del 95%.</w:t>
      </w:r>
    </w:p>
    <w:p w:rsidR="00E27519" w:rsidRDefault="00E27519">
      <w:pPr>
        <w:spacing w:after="120"/>
        <w:contextualSpacing/>
        <w:jc w:val="both"/>
        <w:rPr>
          <w:rFonts w:eastAsia="Calibri"/>
          <w:sz w:val="20"/>
          <w:lang w:eastAsia="en-US"/>
        </w:rPr>
      </w:pPr>
    </w:p>
    <w:p w:rsidR="00E27519" w:rsidRDefault="0003178C">
      <w:pPr>
        <w:spacing w:after="120"/>
        <w:contextualSpacing/>
        <w:jc w:val="both"/>
        <w:rPr>
          <w:rFonts w:eastAsia="Calibri"/>
          <w:sz w:val="20"/>
          <w:lang w:eastAsia="en-US"/>
        </w:rPr>
      </w:pPr>
      <w:r>
        <w:rPr>
          <w:rFonts w:eastAsia="Calibri"/>
          <w:sz w:val="20"/>
          <w:lang w:eastAsia="en-US"/>
        </w:rPr>
        <w:t>Appropriatezza, Qualità, Sicurezza e Rischio Clinico</w:t>
      </w:r>
    </w:p>
    <w:tbl>
      <w:tblPr>
        <w:tblW w:w="5000" w:type="pct"/>
        <w:tblCellMar>
          <w:left w:w="70" w:type="dxa"/>
          <w:right w:w="70" w:type="dxa"/>
        </w:tblCellMar>
        <w:tblLook w:val="04A0" w:firstRow="1" w:lastRow="0" w:firstColumn="1" w:lastColumn="0" w:noHBand="0" w:noVBand="1"/>
      </w:tblPr>
      <w:tblGrid>
        <w:gridCol w:w="3745"/>
        <w:gridCol w:w="1105"/>
        <w:gridCol w:w="1464"/>
        <w:gridCol w:w="1509"/>
        <w:gridCol w:w="1268"/>
        <w:gridCol w:w="1105"/>
      </w:tblGrid>
      <w:tr w:rsidR="00D47C16" w:rsidRPr="00D47C16" w:rsidTr="00D47C16">
        <w:trPr>
          <w:trHeight w:val="510"/>
        </w:trPr>
        <w:tc>
          <w:tcPr>
            <w:tcW w:w="18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Indicatore</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center"/>
              <w:rPr>
                <w:rFonts w:cs="Times New Roman"/>
                <w:color w:val="000000"/>
                <w:sz w:val="20"/>
                <w:lang w:eastAsia="it-IT" w:bidi="ar-SA"/>
              </w:rPr>
            </w:pPr>
            <w:r w:rsidRPr="00D47C16">
              <w:rPr>
                <w:rFonts w:cs="Tahoma"/>
                <w:color w:val="000000"/>
                <w:sz w:val="20"/>
                <w:lang w:eastAsia="it-IT" w:bidi="ar-SA"/>
              </w:rPr>
              <w:t>Valore Regionale</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AUSL MO 2016</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AUSL MO 2017</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center"/>
              <w:rPr>
                <w:rFonts w:cs="Times New Roman"/>
                <w:color w:val="000000"/>
                <w:sz w:val="20"/>
                <w:lang w:eastAsia="it-IT" w:bidi="ar-SA"/>
              </w:rPr>
            </w:pPr>
            <w:r w:rsidRPr="00D47C16">
              <w:rPr>
                <w:rFonts w:cs="Times New Roman"/>
                <w:color w:val="000000"/>
                <w:sz w:val="20"/>
                <w:lang w:eastAsia="it-IT" w:bidi="ar-SA"/>
              </w:rPr>
              <w:t>Valutazione 2017</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center"/>
              <w:rPr>
                <w:rFonts w:cs="Times New Roman"/>
                <w:color w:val="000000"/>
                <w:sz w:val="20"/>
                <w:lang w:eastAsia="it-IT" w:bidi="ar-SA"/>
              </w:rPr>
            </w:pPr>
            <w:r w:rsidRPr="00D47C16">
              <w:rPr>
                <w:rFonts w:cs="Times New Roman"/>
                <w:color w:val="000000"/>
                <w:sz w:val="20"/>
                <w:lang w:eastAsia="it-IT" w:bidi="ar-SA"/>
              </w:rPr>
              <w:t>Trend</w:t>
            </w:r>
          </w:p>
        </w:tc>
      </w:tr>
      <w:tr w:rsidR="00D47C16" w:rsidRPr="00D47C16" w:rsidTr="00D47C16">
        <w:trPr>
          <w:trHeight w:val="765"/>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Tasso di ospedalizzazione per ricoveri ordinari medici brevi x 1.000 residenti</w:t>
            </w:r>
          </w:p>
        </w:tc>
        <w:tc>
          <w:tcPr>
            <w:tcW w:w="542"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10,06</w:t>
            </w:r>
          </w:p>
        </w:tc>
        <w:tc>
          <w:tcPr>
            <w:tcW w:w="718"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8,72</w:t>
            </w:r>
          </w:p>
        </w:tc>
        <w:tc>
          <w:tcPr>
            <w:tcW w:w="740"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9,53</w:t>
            </w:r>
          </w:p>
        </w:tc>
        <w:tc>
          <w:tcPr>
            <w:tcW w:w="622" w:type="pct"/>
            <w:tcBorders>
              <w:top w:val="nil"/>
              <w:left w:val="nil"/>
              <w:bottom w:val="single" w:sz="4" w:space="0" w:color="auto"/>
              <w:right w:val="single" w:sz="4" w:space="0" w:color="auto"/>
            </w:tcBorders>
            <w:shd w:val="clear" w:color="000000" w:fill="0070C0"/>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r>
      <w:tr w:rsidR="00D47C16" w:rsidRPr="00D47C16" w:rsidTr="00D47C16">
        <w:trPr>
          <w:trHeight w:val="765"/>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Indice di sepsi x 1.000 pazienti con intervento chirurgico programmato</w:t>
            </w:r>
          </w:p>
        </w:tc>
        <w:tc>
          <w:tcPr>
            <w:tcW w:w="542"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3,91</w:t>
            </w:r>
          </w:p>
        </w:tc>
        <w:tc>
          <w:tcPr>
            <w:tcW w:w="718"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7,46</w:t>
            </w:r>
          </w:p>
        </w:tc>
        <w:tc>
          <w:tcPr>
            <w:tcW w:w="740"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4,5</w:t>
            </w:r>
          </w:p>
        </w:tc>
        <w:tc>
          <w:tcPr>
            <w:tcW w:w="622" w:type="pct"/>
            <w:tcBorders>
              <w:top w:val="nil"/>
              <w:left w:val="nil"/>
              <w:bottom w:val="single" w:sz="4" w:space="0" w:color="auto"/>
              <w:right w:val="single" w:sz="4" w:space="0" w:color="auto"/>
            </w:tcBorders>
            <w:shd w:val="clear" w:color="000000" w:fill="0070C0"/>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r>
      <w:tr w:rsidR="00D47C16" w:rsidRPr="00D47C16" w:rsidTr="00D47C16">
        <w:trPr>
          <w:trHeight w:val="765"/>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Casi di trombosi venosa profonda o embolia polmonare x 1.000 dimessi con DRG chirurgico</w:t>
            </w:r>
          </w:p>
        </w:tc>
        <w:tc>
          <w:tcPr>
            <w:tcW w:w="542"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1,9</w:t>
            </w:r>
          </w:p>
        </w:tc>
        <w:tc>
          <w:tcPr>
            <w:tcW w:w="718"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3,42</w:t>
            </w:r>
          </w:p>
        </w:tc>
        <w:tc>
          <w:tcPr>
            <w:tcW w:w="740"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1,53</w:t>
            </w:r>
          </w:p>
        </w:tc>
        <w:tc>
          <w:tcPr>
            <w:tcW w:w="622" w:type="pct"/>
            <w:tcBorders>
              <w:top w:val="nil"/>
              <w:left w:val="nil"/>
              <w:bottom w:val="single" w:sz="4" w:space="0" w:color="auto"/>
              <w:right w:val="single" w:sz="4" w:space="0" w:color="auto"/>
            </w:tcBorders>
            <w:shd w:val="clear" w:color="000000" w:fill="0070C0"/>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r>
      <w:tr w:rsidR="00D47C16" w:rsidRPr="00D47C16" w:rsidTr="00D47C16">
        <w:trPr>
          <w:trHeight w:val="765"/>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 di colecistectomie laparoscopiche in Day-Surgery o ricovero ordinario 0-1 giorno</w:t>
            </w:r>
          </w:p>
        </w:tc>
        <w:tc>
          <w:tcPr>
            <w:tcW w:w="542"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43,54</w:t>
            </w:r>
          </w:p>
        </w:tc>
        <w:tc>
          <w:tcPr>
            <w:tcW w:w="718"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27,67</w:t>
            </w:r>
          </w:p>
        </w:tc>
        <w:tc>
          <w:tcPr>
            <w:tcW w:w="740"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46,15</w:t>
            </w:r>
          </w:p>
        </w:tc>
        <w:tc>
          <w:tcPr>
            <w:tcW w:w="622" w:type="pct"/>
            <w:tcBorders>
              <w:top w:val="nil"/>
              <w:left w:val="nil"/>
              <w:bottom w:val="single" w:sz="4" w:space="0" w:color="auto"/>
              <w:right w:val="single" w:sz="4" w:space="0" w:color="auto"/>
            </w:tcBorders>
            <w:shd w:val="clear" w:color="000000" w:fill="0070C0"/>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r>
      <w:tr w:rsidR="00D47C16" w:rsidRPr="00D47C16" w:rsidTr="00D47C16">
        <w:trPr>
          <w:trHeight w:val="1020"/>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lastRenderedPageBreak/>
              <w:t>% di ricoveri in Day-Surgery per i DRG LEA Chirurgici</w:t>
            </w:r>
          </w:p>
        </w:tc>
        <w:tc>
          <w:tcPr>
            <w:tcW w:w="542"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49,65</w:t>
            </w:r>
          </w:p>
        </w:tc>
        <w:tc>
          <w:tcPr>
            <w:tcW w:w="718"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55,05</w:t>
            </w:r>
          </w:p>
        </w:tc>
        <w:tc>
          <w:tcPr>
            <w:tcW w:w="740"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56,81</w:t>
            </w:r>
          </w:p>
        </w:tc>
        <w:tc>
          <w:tcPr>
            <w:tcW w:w="622" w:type="pct"/>
            <w:tcBorders>
              <w:top w:val="nil"/>
              <w:left w:val="nil"/>
              <w:bottom w:val="single" w:sz="4" w:space="0" w:color="auto"/>
              <w:right w:val="single" w:sz="4" w:space="0" w:color="auto"/>
            </w:tcBorders>
            <w:shd w:val="clear" w:color="000000" w:fill="92D050"/>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center"/>
              <w:rPr>
                <w:rFonts w:cs="Times New Roman"/>
                <w:color w:val="00B050"/>
                <w:sz w:val="36"/>
                <w:szCs w:val="36"/>
                <w:lang w:eastAsia="it-IT" w:bidi="ar-SA"/>
              </w:rPr>
            </w:pPr>
            <w:r w:rsidRPr="00D47C16">
              <w:rPr>
                <w:rFonts w:cs="Times New Roman"/>
                <w:color w:val="00B050"/>
                <w:sz w:val="36"/>
                <w:szCs w:val="36"/>
                <w:lang w:eastAsia="it-IT" w:bidi="ar-SA"/>
              </w:rPr>
              <w:t>↑</w:t>
            </w:r>
          </w:p>
        </w:tc>
      </w:tr>
      <w:tr w:rsidR="00D47C16" w:rsidRPr="00D47C16" w:rsidTr="00D47C16">
        <w:trPr>
          <w:trHeight w:val="1020"/>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Numero prestazioni specialistiche ambulatoriali di Risonanza Magnetica (RM) x 100 residenti - GRIGLIA LEA</w:t>
            </w:r>
          </w:p>
        </w:tc>
        <w:tc>
          <w:tcPr>
            <w:tcW w:w="542"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6,86</w:t>
            </w:r>
          </w:p>
        </w:tc>
        <w:tc>
          <w:tcPr>
            <w:tcW w:w="718"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6,19</w:t>
            </w:r>
          </w:p>
        </w:tc>
        <w:tc>
          <w:tcPr>
            <w:tcW w:w="740"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6,53</w:t>
            </w:r>
          </w:p>
        </w:tc>
        <w:tc>
          <w:tcPr>
            <w:tcW w:w="622" w:type="pct"/>
            <w:tcBorders>
              <w:top w:val="nil"/>
              <w:left w:val="nil"/>
              <w:bottom w:val="single" w:sz="4" w:space="0" w:color="auto"/>
              <w:right w:val="single" w:sz="4" w:space="0" w:color="auto"/>
            </w:tcBorders>
            <w:shd w:val="clear" w:color="000000" w:fill="92D050"/>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center"/>
              <w:rPr>
                <w:rFonts w:cs="Times New Roman"/>
                <w:color w:val="00B050"/>
                <w:sz w:val="36"/>
                <w:szCs w:val="36"/>
                <w:lang w:eastAsia="it-IT" w:bidi="ar-SA"/>
              </w:rPr>
            </w:pPr>
            <w:r w:rsidRPr="00D47C16">
              <w:rPr>
                <w:rFonts w:cs="Times New Roman"/>
                <w:color w:val="00B050"/>
                <w:sz w:val="36"/>
                <w:szCs w:val="36"/>
                <w:lang w:eastAsia="it-IT" w:bidi="ar-SA"/>
              </w:rPr>
              <w:t>↑</w:t>
            </w:r>
          </w:p>
        </w:tc>
      </w:tr>
      <w:tr w:rsidR="00D47C16" w:rsidRPr="00D47C16" w:rsidTr="00D47C16">
        <w:trPr>
          <w:trHeight w:val="1275"/>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Tasso di ricovero diurno di tipo diagnostico x 1.000 residenti - GRIGLIA LEA</w:t>
            </w:r>
          </w:p>
        </w:tc>
        <w:tc>
          <w:tcPr>
            <w:tcW w:w="542"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2,17</w:t>
            </w:r>
          </w:p>
        </w:tc>
        <w:tc>
          <w:tcPr>
            <w:tcW w:w="718"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1,76</w:t>
            </w:r>
          </w:p>
        </w:tc>
        <w:tc>
          <w:tcPr>
            <w:tcW w:w="740"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1,18</w:t>
            </w:r>
          </w:p>
        </w:tc>
        <w:tc>
          <w:tcPr>
            <w:tcW w:w="622" w:type="pct"/>
            <w:tcBorders>
              <w:top w:val="nil"/>
              <w:left w:val="nil"/>
              <w:bottom w:val="single" w:sz="4" w:space="0" w:color="auto"/>
              <w:right w:val="single" w:sz="4" w:space="0" w:color="auto"/>
            </w:tcBorders>
            <w:shd w:val="clear" w:color="000000" w:fill="00B050"/>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imes New Roman"/>
                <w:color w:val="000000"/>
                <w:sz w:val="20"/>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center"/>
              <w:rPr>
                <w:rFonts w:cs="Times New Roman"/>
                <w:color w:val="00B050"/>
                <w:sz w:val="36"/>
                <w:szCs w:val="36"/>
                <w:lang w:eastAsia="it-IT" w:bidi="ar-SA"/>
              </w:rPr>
            </w:pPr>
            <w:r w:rsidRPr="00D47C16">
              <w:rPr>
                <w:rFonts w:cs="Times New Roman"/>
                <w:color w:val="00B050"/>
                <w:sz w:val="36"/>
                <w:szCs w:val="36"/>
                <w:lang w:eastAsia="it-IT" w:bidi="ar-SA"/>
              </w:rPr>
              <w:t>↑</w:t>
            </w:r>
          </w:p>
        </w:tc>
      </w:tr>
      <w:tr w:rsidR="00D47C16" w:rsidRPr="00D47C16" w:rsidTr="00D47C16">
        <w:trPr>
          <w:trHeight w:val="765"/>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Tasso std di accessi di tipo medico x 1.000 residenti - GRIGLIA LEA</w:t>
            </w:r>
          </w:p>
        </w:tc>
        <w:tc>
          <w:tcPr>
            <w:tcW w:w="542"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33,49</w:t>
            </w:r>
          </w:p>
        </w:tc>
        <w:tc>
          <w:tcPr>
            <w:tcW w:w="718"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88,21</w:t>
            </w:r>
          </w:p>
        </w:tc>
        <w:tc>
          <w:tcPr>
            <w:tcW w:w="740"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22,47</w:t>
            </w:r>
          </w:p>
        </w:tc>
        <w:tc>
          <w:tcPr>
            <w:tcW w:w="622" w:type="pct"/>
            <w:tcBorders>
              <w:top w:val="nil"/>
              <w:left w:val="nil"/>
              <w:bottom w:val="single" w:sz="4" w:space="0" w:color="auto"/>
              <w:right w:val="single" w:sz="4" w:space="0" w:color="auto"/>
            </w:tcBorders>
            <w:shd w:val="clear" w:color="000000" w:fill="00B050"/>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imes New Roman"/>
                <w:color w:val="000000"/>
                <w:sz w:val="20"/>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center"/>
              <w:rPr>
                <w:rFonts w:cs="Times New Roman"/>
                <w:color w:val="00B050"/>
                <w:sz w:val="36"/>
                <w:szCs w:val="36"/>
                <w:lang w:eastAsia="it-IT" w:bidi="ar-SA"/>
              </w:rPr>
            </w:pPr>
            <w:r w:rsidRPr="00D47C16">
              <w:rPr>
                <w:rFonts w:cs="Times New Roman"/>
                <w:color w:val="00B050"/>
                <w:sz w:val="36"/>
                <w:szCs w:val="36"/>
                <w:lang w:eastAsia="it-IT" w:bidi="ar-SA"/>
              </w:rPr>
              <w:t>↑</w:t>
            </w:r>
          </w:p>
        </w:tc>
      </w:tr>
      <w:tr w:rsidR="00D47C16" w:rsidRPr="00D47C16" w:rsidTr="00D47C16">
        <w:trPr>
          <w:trHeight w:val="1275"/>
        </w:trPr>
        <w:tc>
          <w:tcPr>
            <w:tcW w:w="1836" w:type="pct"/>
            <w:tcBorders>
              <w:top w:val="nil"/>
              <w:left w:val="single" w:sz="4" w:space="0" w:color="auto"/>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rPr>
                <w:rFonts w:cs="Times New Roman"/>
                <w:color w:val="000000"/>
                <w:sz w:val="20"/>
                <w:lang w:eastAsia="it-IT" w:bidi="ar-SA"/>
              </w:rPr>
            </w:pPr>
            <w:r w:rsidRPr="00D47C16">
              <w:rPr>
                <w:rFonts w:cs="Tahoma"/>
                <w:color w:val="000000"/>
                <w:sz w:val="20"/>
                <w:lang w:eastAsia="it-IT" w:bidi="ar-SA"/>
              </w:rPr>
              <w:t>Rapporto tra ricoveri attribuiti a DRG ad alto rischio di inappropriatezza e ricoveri attribuiti a DRG non a rischio di inappropriatezza in regime ordinario - GRIGLIA LEA</w:t>
            </w:r>
          </w:p>
        </w:tc>
        <w:tc>
          <w:tcPr>
            <w:tcW w:w="542"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0,21</w:t>
            </w:r>
          </w:p>
        </w:tc>
        <w:tc>
          <w:tcPr>
            <w:tcW w:w="718"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0,17</w:t>
            </w:r>
          </w:p>
        </w:tc>
        <w:tc>
          <w:tcPr>
            <w:tcW w:w="740"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right"/>
              <w:rPr>
                <w:rFonts w:cs="Times New Roman"/>
                <w:color w:val="000000"/>
                <w:sz w:val="20"/>
                <w:lang w:eastAsia="it-IT" w:bidi="ar-SA"/>
              </w:rPr>
            </w:pPr>
            <w:r w:rsidRPr="00D47C16">
              <w:rPr>
                <w:rFonts w:cs="Tahoma"/>
                <w:color w:val="000000"/>
                <w:sz w:val="20"/>
                <w:lang w:eastAsia="it-IT" w:bidi="ar-SA"/>
              </w:rPr>
              <w:t>0,18</w:t>
            </w:r>
          </w:p>
        </w:tc>
        <w:tc>
          <w:tcPr>
            <w:tcW w:w="622" w:type="pct"/>
            <w:tcBorders>
              <w:top w:val="nil"/>
              <w:left w:val="nil"/>
              <w:bottom w:val="single" w:sz="4" w:space="0" w:color="auto"/>
              <w:right w:val="single" w:sz="4" w:space="0" w:color="auto"/>
            </w:tcBorders>
            <w:shd w:val="clear" w:color="000000" w:fill="92D050"/>
            <w:noWrap/>
            <w:vAlign w:val="bottom"/>
            <w:hideMark/>
          </w:tcPr>
          <w:p w:rsidR="00D47C16" w:rsidRPr="00D47C16" w:rsidRDefault="00D47C16" w:rsidP="00D47C16">
            <w:pPr>
              <w:suppressAutoHyphens w:val="0"/>
              <w:spacing w:before="0" w:after="0" w:line="240" w:lineRule="auto"/>
              <w:rPr>
                <w:rFonts w:cs="Times New Roman"/>
                <w:color w:val="000000"/>
                <w:szCs w:val="22"/>
                <w:lang w:eastAsia="it-IT" w:bidi="ar-SA"/>
              </w:rPr>
            </w:pPr>
            <w:r w:rsidRPr="00D47C16">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D47C16" w:rsidRPr="00D47C16" w:rsidRDefault="00D47C16" w:rsidP="00D47C16">
            <w:pPr>
              <w:suppressAutoHyphens w:val="0"/>
              <w:spacing w:before="0" w:after="0" w:line="240" w:lineRule="auto"/>
              <w:jc w:val="center"/>
              <w:rPr>
                <w:rFonts w:cs="Times New Roman"/>
                <w:sz w:val="36"/>
                <w:szCs w:val="36"/>
                <w:lang w:eastAsia="it-IT" w:bidi="ar-SA"/>
              </w:rPr>
            </w:pPr>
            <w:r w:rsidRPr="00D47C16">
              <w:rPr>
                <w:rFonts w:cs="Times New Roman"/>
                <w:sz w:val="36"/>
                <w:szCs w:val="36"/>
                <w:lang w:eastAsia="it-IT" w:bidi="ar-SA"/>
              </w:rPr>
              <w:t>=</w:t>
            </w:r>
          </w:p>
        </w:tc>
      </w:tr>
    </w:tbl>
    <w:p w:rsidR="00E27519" w:rsidRPr="00D47C16" w:rsidRDefault="00D47C16" w:rsidP="00D47C16">
      <w:pPr>
        <w:ind w:right="284"/>
        <w:jc w:val="both"/>
        <w:rPr>
          <w:rFonts w:eastAsia="Calibri"/>
          <w:sz w:val="16"/>
          <w:lang w:eastAsia="en-US"/>
        </w:rPr>
      </w:pPr>
      <w:r>
        <w:rPr>
          <w:rFonts w:eastAsia="Calibri"/>
          <w:sz w:val="16"/>
          <w:lang w:eastAsia="en-US"/>
        </w:rPr>
        <w:t>Fonte: Regione Emilia Romagna, INSIDER, 2017.</w:t>
      </w:r>
    </w:p>
    <w:p w:rsidR="00E27519" w:rsidRPr="004A2DDF" w:rsidRDefault="0003178C">
      <w:pPr>
        <w:spacing w:after="120"/>
        <w:contextualSpacing/>
        <w:jc w:val="both"/>
        <w:rPr>
          <w:rFonts w:eastAsia="Calibri"/>
          <w:sz w:val="20"/>
          <w:lang w:eastAsia="en-US"/>
        </w:rPr>
      </w:pPr>
      <w:r w:rsidRPr="004A2DDF">
        <w:rPr>
          <w:rFonts w:eastAsia="Calibri"/>
          <w:sz w:val="20"/>
          <w:lang w:eastAsia="en-US"/>
        </w:rPr>
        <w:t xml:space="preserve">La dimensione sull’Appropriatezza, Qualità, Sicurezza e Rischio Clinico mostra un posizionamento dell’Azienda USL di Modena positivo per tutti gli indicatori di valutazione. </w:t>
      </w:r>
    </w:p>
    <w:p w:rsidR="00E27519" w:rsidRPr="004A2DDF" w:rsidRDefault="00E27519">
      <w:pPr>
        <w:spacing w:after="120"/>
        <w:contextualSpacing/>
        <w:jc w:val="both"/>
        <w:rPr>
          <w:rFonts w:eastAsia="Calibri"/>
          <w:sz w:val="20"/>
          <w:lang w:eastAsia="en-US"/>
        </w:rPr>
      </w:pPr>
    </w:p>
    <w:p w:rsidR="00E27519" w:rsidRPr="004A2DDF" w:rsidRDefault="0003178C">
      <w:pPr>
        <w:spacing w:after="120"/>
        <w:contextualSpacing/>
        <w:jc w:val="both"/>
        <w:rPr>
          <w:rFonts w:eastAsia="Calibri"/>
          <w:sz w:val="20"/>
          <w:lang w:eastAsia="en-US"/>
        </w:rPr>
      </w:pPr>
      <w:r w:rsidRPr="004A2DDF">
        <w:rPr>
          <w:rFonts w:eastAsia="Calibri"/>
          <w:sz w:val="20"/>
          <w:lang w:eastAsia="en-US"/>
        </w:rPr>
        <w:t>Organizzazione</w:t>
      </w:r>
    </w:p>
    <w:p w:rsidR="00E27519" w:rsidRPr="004A2DDF" w:rsidRDefault="00FD50DA">
      <w:pPr>
        <w:spacing w:after="120"/>
        <w:contextualSpacing/>
        <w:jc w:val="both"/>
        <w:rPr>
          <w:rFonts w:eastAsia="Calibri"/>
          <w:sz w:val="20"/>
          <w:lang w:eastAsia="en-US"/>
        </w:rPr>
      </w:pPr>
      <w:r w:rsidRPr="004A2DDF">
        <w:rPr>
          <w:rFonts w:eastAsia="Calibri"/>
          <w:sz w:val="20"/>
          <w:lang w:eastAsia="en-US"/>
        </w:rPr>
        <w:t>La dimensione Organizzazione non contiene degli indicatori</w:t>
      </w:r>
    </w:p>
    <w:p w:rsidR="00FD50DA" w:rsidRPr="004A2DDF" w:rsidRDefault="00FD50DA">
      <w:pPr>
        <w:spacing w:after="120"/>
        <w:contextualSpacing/>
        <w:jc w:val="both"/>
        <w:rPr>
          <w:rFonts w:eastAsia="Calibri"/>
          <w:sz w:val="20"/>
          <w:lang w:eastAsia="en-US"/>
        </w:rPr>
      </w:pPr>
    </w:p>
    <w:p w:rsidR="00E27519" w:rsidRDefault="00E27519">
      <w:pPr>
        <w:spacing w:after="120"/>
        <w:contextualSpacing/>
        <w:jc w:val="both"/>
        <w:rPr>
          <w:rFonts w:eastAsia="Calibri"/>
          <w:sz w:val="20"/>
          <w:lang w:eastAsia="en-US"/>
        </w:rPr>
      </w:pPr>
    </w:p>
    <w:p w:rsidR="00E27519" w:rsidRDefault="0003178C">
      <w:pPr>
        <w:spacing w:after="120"/>
        <w:contextualSpacing/>
        <w:jc w:val="both"/>
        <w:rPr>
          <w:rFonts w:eastAsia="Calibri"/>
          <w:sz w:val="20"/>
          <w:lang w:eastAsia="en-US"/>
        </w:rPr>
      </w:pPr>
      <w:r>
        <w:rPr>
          <w:rFonts w:eastAsia="Calibri"/>
          <w:sz w:val="20"/>
          <w:lang w:eastAsia="en-US"/>
        </w:rPr>
        <w:t>Anticorruzione-Trasparenza</w:t>
      </w:r>
    </w:p>
    <w:tbl>
      <w:tblPr>
        <w:tblW w:w="5000" w:type="pct"/>
        <w:tblCellMar>
          <w:left w:w="70" w:type="dxa"/>
          <w:right w:w="70" w:type="dxa"/>
        </w:tblCellMar>
        <w:tblLook w:val="04A0" w:firstRow="1" w:lastRow="0" w:firstColumn="1" w:lastColumn="0" w:noHBand="0" w:noVBand="1"/>
      </w:tblPr>
      <w:tblGrid>
        <w:gridCol w:w="3710"/>
        <w:gridCol w:w="1073"/>
        <w:gridCol w:w="1454"/>
        <w:gridCol w:w="1499"/>
        <w:gridCol w:w="1387"/>
        <w:gridCol w:w="1073"/>
      </w:tblGrid>
      <w:tr w:rsidR="00423E1B" w:rsidRPr="00423E1B" w:rsidTr="00423E1B">
        <w:trPr>
          <w:trHeight w:val="510"/>
        </w:trPr>
        <w:tc>
          <w:tcPr>
            <w:tcW w:w="18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rPr>
                <w:rFonts w:cs="Times New Roman"/>
                <w:color w:val="000000"/>
                <w:sz w:val="20"/>
                <w:lang w:eastAsia="it-IT" w:bidi="ar-SA"/>
              </w:rPr>
            </w:pPr>
            <w:r w:rsidRPr="00423E1B">
              <w:rPr>
                <w:rFonts w:cs="Tahoma"/>
                <w:color w:val="000000"/>
                <w:sz w:val="20"/>
                <w:lang w:eastAsia="it-IT" w:bidi="ar-SA"/>
              </w:rPr>
              <w:t>Indicatore</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center"/>
              <w:rPr>
                <w:rFonts w:cs="Times New Roman"/>
                <w:color w:val="000000"/>
                <w:sz w:val="20"/>
                <w:lang w:eastAsia="it-IT" w:bidi="ar-SA"/>
              </w:rPr>
            </w:pPr>
            <w:r w:rsidRPr="00423E1B">
              <w:rPr>
                <w:rFonts w:cs="Tahoma"/>
                <w:color w:val="000000"/>
                <w:sz w:val="20"/>
                <w:lang w:eastAsia="it-IT" w:bidi="ar-SA"/>
              </w:rPr>
              <w:t>Valore Regionale</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rPr>
                <w:rFonts w:cs="Times New Roman"/>
                <w:color w:val="000000"/>
                <w:sz w:val="20"/>
                <w:lang w:eastAsia="it-IT" w:bidi="ar-SA"/>
              </w:rPr>
            </w:pPr>
            <w:r w:rsidRPr="00423E1B">
              <w:rPr>
                <w:rFonts w:cs="Tahoma"/>
                <w:color w:val="000000"/>
                <w:sz w:val="20"/>
                <w:lang w:eastAsia="it-IT" w:bidi="ar-SA"/>
              </w:rPr>
              <w:t>AUSL MO 2016</w:t>
            </w:r>
          </w:p>
        </w:tc>
        <w:tc>
          <w:tcPr>
            <w:tcW w:w="735" w:type="pct"/>
            <w:tcBorders>
              <w:top w:val="single" w:sz="4" w:space="0" w:color="auto"/>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rPr>
                <w:rFonts w:cs="Times New Roman"/>
                <w:color w:val="000000"/>
                <w:sz w:val="20"/>
                <w:lang w:eastAsia="it-IT" w:bidi="ar-SA"/>
              </w:rPr>
            </w:pPr>
            <w:r w:rsidRPr="00423E1B">
              <w:rPr>
                <w:rFonts w:cs="Tahoma"/>
                <w:color w:val="000000"/>
                <w:sz w:val="20"/>
                <w:lang w:eastAsia="it-IT" w:bidi="ar-SA"/>
              </w:rPr>
              <w:t>AUSL MO 2017</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center"/>
              <w:rPr>
                <w:rFonts w:cs="Times New Roman"/>
                <w:color w:val="000000"/>
                <w:sz w:val="20"/>
                <w:lang w:eastAsia="it-IT" w:bidi="ar-SA"/>
              </w:rPr>
            </w:pPr>
            <w:r w:rsidRPr="00423E1B">
              <w:rPr>
                <w:rFonts w:cs="Times New Roman"/>
                <w:color w:val="000000"/>
                <w:sz w:val="20"/>
                <w:lang w:eastAsia="it-IT" w:bidi="ar-SA"/>
              </w:rPr>
              <w:t>Valutazione 2017</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center"/>
              <w:rPr>
                <w:rFonts w:cs="Times New Roman"/>
                <w:color w:val="000000"/>
                <w:sz w:val="20"/>
                <w:lang w:eastAsia="it-IT" w:bidi="ar-SA"/>
              </w:rPr>
            </w:pPr>
            <w:r w:rsidRPr="00423E1B">
              <w:rPr>
                <w:rFonts w:cs="Times New Roman"/>
                <w:color w:val="000000"/>
                <w:sz w:val="20"/>
                <w:lang w:eastAsia="it-IT" w:bidi="ar-SA"/>
              </w:rPr>
              <w:t>Trend</w:t>
            </w:r>
          </w:p>
        </w:tc>
      </w:tr>
      <w:tr w:rsidR="00423E1B" w:rsidRPr="00423E1B" w:rsidTr="00423E1B">
        <w:trPr>
          <w:trHeight w:val="765"/>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rPr>
                <w:rFonts w:cs="Times New Roman"/>
                <w:color w:val="000000"/>
                <w:sz w:val="20"/>
                <w:lang w:eastAsia="it-IT" w:bidi="ar-SA"/>
              </w:rPr>
            </w:pPr>
            <w:r w:rsidRPr="00423E1B">
              <w:rPr>
                <w:rFonts w:cs="Tahoma"/>
                <w:color w:val="000000"/>
                <w:sz w:val="20"/>
                <w:lang w:eastAsia="it-IT" w:bidi="ar-SA"/>
              </w:rPr>
              <w:t>% sintetica di assolvimento degli obblighi di trasparenza</w:t>
            </w:r>
          </w:p>
        </w:tc>
        <w:tc>
          <w:tcPr>
            <w:tcW w:w="526" w:type="pct"/>
            <w:tcBorders>
              <w:top w:val="nil"/>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right"/>
              <w:rPr>
                <w:rFonts w:cs="Times New Roman"/>
                <w:color w:val="000000"/>
                <w:sz w:val="20"/>
                <w:lang w:eastAsia="it-IT" w:bidi="ar-SA"/>
              </w:rPr>
            </w:pPr>
            <w:r w:rsidRPr="00423E1B">
              <w:rPr>
                <w:rFonts w:cs="Tahoma"/>
                <w:color w:val="000000"/>
                <w:sz w:val="20"/>
                <w:lang w:eastAsia="it-IT" w:bidi="ar-SA"/>
              </w:rPr>
              <w:t>98,75</w:t>
            </w:r>
          </w:p>
        </w:tc>
        <w:tc>
          <w:tcPr>
            <w:tcW w:w="713" w:type="pct"/>
            <w:tcBorders>
              <w:top w:val="nil"/>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right"/>
              <w:rPr>
                <w:rFonts w:cs="Times New Roman"/>
                <w:color w:val="000000"/>
                <w:sz w:val="20"/>
                <w:lang w:eastAsia="it-IT" w:bidi="ar-SA"/>
              </w:rPr>
            </w:pPr>
            <w:r w:rsidRPr="00423E1B">
              <w:rPr>
                <w:rFonts w:cs="Tahoma"/>
                <w:color w:val="000000"/>
                <w:sz w:val="20"/>
                <w:lang w:eastAsia="it-IT" w:bidi="ar-SA"/>
              </w:rPr>
              <w:t>85,08</w:t>
            </w:r>
          </w:p>
        </w:tc>
        <w:tc>
          <w:tcPr>
            <w:tcW w:w="735" w:type="pct"/>
            <w:tcBorders>
              <w:top w:val="nil"/>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right"/>
              <w:rPr>
                <w:rFonts w:cs="Times New Roman"/>
                <w:color w:val="000000"/>
                <w:sz w:val="20"/>
                <w:lang w:eastAsia="it-IT" w:bidi="ar-SA"/>
              </w:rPr>
            </w:pPr>
            <w:r w:rsidRPr="00423E1B">
              <w:rPr>
                <w:rFonts w:cs="Tahoma"/>
                <w:color w:val="000000"/>
                <w:sz w:val="20"/>
                <w:lang w:eastAsia="it-IT" w:bidi="ar-SA"/>
              </w:rPr>
              <w:t>100</w:t>
            </w:r>
          </w:p>
        </w:tc>
        <w:tc>
          <w:tcPr>
            <w:tcW w:w="680" w:type="pct"/>
            <w:tcBorders>
              <w:top w:val="nil"/>
              <w:left w:val="nil"/>
              <w:bottom w:val="single" w:sz="4" w:space="0" w:color="auto"/>
              <w:right w:val="single" w:sz="4" w:space="0" w:color="auto"/>
            </w:tcBorders>
            <w:shd w:val="clear" w:color="000000" w:fill="00B050"/>
            <w:vAlign w:val="center"/>
            <w:hideMark/>
          </w:tcPr>
          <w:p w:rsidR="00423E1B" w:rsidRPr="00423E1B" w:rsidRDefault="00423E1B" w:rsidP="00423E1B">
            <w:pPr>
              <w:suppressAutoHyphens w:val="0"/>
              <w:spacing w:before="0" w:after="0" w:line="240" w:lineRule="auto"/>
              <w:jc w:val="right"/>
              <w:rPr>
                <w:rFonts w:cs="Times New Roman"/>
                <w:color w:val="000000"/>
                <w:sz w:val="20"/>
                <w:lang w:eastAsia="it-IT" w:bidi="ar-SA"/>
              </w:rPr>
            </w:pPr>
            <w:r w:rsidRPr="00423E1B">
              <w:rPr>
                <w:rFonts w:cs="Times New Roman"/>
                <w:color w:val="000000"/>
                <w:sz w:val="20"/>
                <w:lang w:eastAsia="it-IT" w:bidi="ar-SA"/>
              </w:rPr>
              <w:t> </w:t>
            </w:r>
          </w:p>
        </w:tc>
        <w:tc>
          <w:tcPr>
            <w:tcW w:w="526" w:type="pct"/>
            <w:tcBorders>
              <w:top w:val="nil"/>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center"/>
              <w:rPr>
                <w:rFonts w:cs="Times New Roman"/>
                <w:color w:val="00B050"/>
                <w:sz w:val="36"/>
                <w:szCs w:val="36"/>
                <w:lang w:eastAsia="it-IT" w:bidi="ar-SA"/>
              </w:rPr>
            </w:pPr>
            <w:r w:rsidRPr="00423E1B">
              <w:rPr>
                <w:rFonts w:cs="Times New Roman"/>
                <w:color w:val="00B050"/>
                <w:sz w:val="36"/>
                <w:szCs w:val="36"/>
                <w:lang w:eastAsia="it-IT" w:bidi="ar-SA"/>
              </w:rPr>
              <w:t>↑</w:t>
            </w:r>
          </w:p>
        </w:tc>
      </w:tr>
      <w:tr w:rsidR="00423E1B" w:rsidRPr="00423E1B" w:rsidTr="00423E1B">
        <w:trPr>
          <w:trHeight w:val="765"/>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rPr>
                <w:rFonts w:cs="Times New Roman"/>
                <w:color w:val="000000"/>
                <w:sz w:val="20"/>
                <w:lang w:eastAsia="it-IT" w:bidi="ar-SA"/>
              </w:rPr>
            </w:pPr>
            <w:r w:rsidRPr="00423E1B">
              <w:rPr>
                <w:rFonts w:cs="Tahoma"/>
                <w:color w:val="000000"/>
                <w:sz w:val="20"/>
                <w:lang w:eastAsia="it-IT" w:bidi="ar-SA"/>
              </w:rPr>
              <w:t>% di spesa gestita su contratti derivanti da iniziative di Intercent-ER</w:t>
            </w:r>
          </w:p>
        </w:tc>
        <w:tc>
          <w:tcPr>
            <w:tcW w:w="526" w:type="pct"/>
            <w:tcBorders>
              <w:top w:val="nil"/>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right"/>
              <w:rPr>
                <w:rFonts w:cs="Times New Roman"/>
                <w:color w:val="000000"/>
                <w:sz w:val="20"/>
                <w:lang w:eastAsia="it-IT" w:bidi="ar-SA"/>
              </w:rPr>
            </w:pPr>
            <w:r w:rsidRPr="00423E1B">
              <w:rPr>
                <w:rFonts w:cs="Tahoma"/>
                <w:color w:val="000000"/>
                <w:sz w:val="20"/>
                <w:lang w:eastAsia="it-IT" w:bidi="ar-SA"/>
              </w:rPr>
              <w:t>45,75</w:t>
            </w:r>
          </w:p>
        </w:tc>
        <w:tc>
          <w:tcPr>
            <w:tcW w:w="713" w:type="pct"/>
            <w:tcBorders>
              <w:top w:val="nil"/>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right"/>
              <w:rPr>
                <w:rFonts w:cs="Times New Roman"/>
                <w:color w:val="000000"/>
                <w:sz w:val="20"/>
                <w:lang w:eastAsia="it-IT" w:bidi="ar-SA"/>
              </w:rPr>
            </w:pPr>
            <w:r w:rsidRPr="00423E1B">
              <w:rPr>
                <w:rFonts w:cs="Tahoma"/>
                <w:color w:val="000000"/>
                <w:sz w:val="20"/>
                <w:lang w:eastAsia="it-IT" w:bidi="ar-SA"/>
              </w:rPr>
              <w:t>48,78</w:t>
            </w:r>
          </w:p>
        </w:tc>
        <w:tc>
          <w:tcPr>
            <w:tcW w:w="735" w:type="pct"/>
            <w:tcBorders>
              <w:top w:val="nil"/>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right"/>
              <w:rPr>
                <w:rFonts w:cs="Times New Roman"/>
                <w:color w:val="000000"/>
                <w:sz w:val="20"/>
                <w:lang w:eastAsia="it-IT" w:bidi="ar-SA"/>
              </w:rPr>
            </w:pPr>
            <w:r w:rsidRPr="00423E1B">
              <w:rPr>
                <w:rFonts w:cs="Tahoma"/>
                <w:color w:val="000000"/>
                <w:sz w:val="20"/>
                <w:lang w:eastAsia="it-IT" w:bidi="ar-SA"/>
              </w:rPr>
              <w:t>63,55</w:t>
            </w:r>
          </w:p>
        </w:tc>
        <w:tc>
          <w:tcPr>
            <w:tcW w:w="680" w:type="pct"/>
            <w:tcBorders>
              <w:top w:val="nil"/>
              <w:left w:val="nil"/>
              <w:bottom w:val="single" w:sz="4" w:space="0" w:color="auto"/>
              <w:right w:val="single" w:sz="4" w:space="0" w:color="auto"/>
            </w:tcBorders>
            <w:shd w:val="clear" w:color="000000" w:fill="0070C0"/>
            <w:noWrap/>
            <w:vAlign w:val="bottom"/>
            <w:hideMark/>
          </w:tcPr>
          <w:p w:rsidR="00423E1B" w:rsidRPr="00423E1B" w:rsidRDefault="00423E1B" w:rsidP="00423E1B">
            <w:pPr>
              <w:suppressAutoHyphens w:val="0"/>
              <w:spacing w:before="0" w:after="0" w:line="240" w:lineRule="auto"/>
              <w:rPr>
                <w:rFonts w:cs="Times New Roman"/>
                <w:color w:val="000000"/>
                <w:szCs w:val="22"/>
                <w:lang w:eastAsia="it-IT" w:bidi="ar-SA"/>
              </w:rPr>
            </w:pPr>
            <w:r w:rsidRPr="00423E1B">
              <w:rPr>
                <w:rFonts w:cs="Times New Roman"/>
                <w:color w:val="000000"/>
                <w:szCs w:val="22"/>
                <w:lang w:eastAsia="it-IT" w:bidi="ar-SA"/>
              </w:rPr>
              <w:t> </w:t>
            </w:r>
          </w:p>
        </w:tc>
        <w:tc>
          <w:tcPr>
            <w:tcW w:w="526" w:type="pct"/>
            <w:tcBorders>
              <w:top w:val="nil"/>
              <w:left w:val="nil"/>
              <w:bottom w:val="single" w:sz="4" w:space="0" w:color="auto"/>
              <w:right w:val="single" w:sz="4" w:space="0" w:color="auto"/>
            </w:tcBorders>
            <w:shd w:val="clear" w:color="auto" w:fill="auto"/>
            <w:noWrap/>
            <w:vAlign w:val="bottom"/>
            <w:hideMark/>
          </w:tcPr>
          <w:p w:rsidR="00423E1B" w:rsidRPr="00423E1B" w:rsidRDefault="00423E1B" w:rsidP="00423E1B">
            <w:pPr>
              <w:suppressAutoHyphens w:val="0"/>
              <w:spacing w:before="0" w:after="0" w:line="240" w:lineRule="auto"/>
              <w:rPr>
                <w:rFonts w:cs="Times New Roman"/>
                <w:color w:val="000000"/>
                <w:szCs w:val="22"/>
                <w:lang w:eastAsia="it-IT" w:bidi="ar-SA"/>
              </w:rPr>
            </w:pPr>
            <w:r w:rsidRPr="00423E1B">
              <w:rPr>
                <w:rFonts w:cs="Times New Roman"/>
                <w:color w:val="000000"/>
                <w:szCs w:val="22"/>
                <w:lang w:eastAsia="it-IT" w:bidi="ar-SA"/>
              </w:rPr>
              <w:t> </w:t>
            </w:r>
          </w:p>
        </w:tc>
      </w:tr>
      <w:tr w:rsidR="00423E1B" w:rsidRPr="00423E1B" w:rsidTr="00423E1B">
        <w:trPr>
          <w:trHeight w:val="765"/>
        </w:trPr>
        <w:tc>
          <w:tcPr>
            <w:tcW w:w="1819" w:type="pct"/>
            <w:tcBorders>
              <w:top w:val="nil"/>
              <w:left w:val="single" w:sz="4" w:space="0" w:color="auto"/>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rPr>
                <w:rFonts w:cs="Times New Roman"/>
                <w:color w:val="000000"/>
                <w:sz w:val="20"/>
                <w:lang w:eastAsia="it-IT" w:bidi="ar-SA"/>
              </w:rPr>
            </w:pPr>
            <w:r w:rsidRPr="00423E1B">
              <w:rPr>
                <w:rFonts w:cs="Tahoma"/>
                <w:color w:val="000000"/>
                <w:sz w:val="20"/>
                <w:lang w:eastAsia="it-IT" w:bidi="ar-SA"/>
              </w:rPr>
              <w:t>% di spesa gestita su contratti derivanti da iniziative di Area Vasta</w:t>
            </w:r>
          </w:p>
        </w:tc>
        <w:tc>
          <w:tcPr>
            <w:tcW w:w="526" w:type="pct"/>
            <w:tcBorders>
              <w:top w:val="nil"/>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right"/>
              <w:rPr>
                <w:rFonts w:cs="Times New Roman"/>
                <w:color w:val="000000"/>
                <w:sz w:val="20"/>
                <w:lang w:eastAsia="it-IT" w:bidi="ar-SA"/>
              </w:rPr>
            </w:pPr>
            <w:r w:rsidRPr="00423E1B">
              <w:rPr>
                <w:rFonts w:cs="Tahoma"/>
                <w:color w:val="000000"/>
                <w:sz w:val="20"/>
                <w:lang w:eastAsia="it-IT" w:bidi="ar-SA"/>
              </w:rPr>
              <w:t>37,96</w:t>
            </w:r>
          </w:p>
        </w:tc>
        <w:tc>
          <w:tcPr>
            <w:tcW w:w="713" w:type="pct"/>
            <w:tcBorders>
              <w:top w:val="nil"/>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right"/>
              <w:rPr>
                <w:rFonts w:cs="Times New Roman"/>
                <w:color w:val="000000"/>
                <w:sz w:val="20"/>
                <w:lang w:eastAsia="it-IT" w:bidi="ar-SA"/>
              </w:rPr>
            </w:pPr>
            <w:r w:rsidRPr="00423E1B">
              <w:rPr>
                <w:rFonts w:cs="Tahoma"/>
                <w:color w:val="000000"/>
                <w:sz w:val="20"/>
                <w:lang w:eastAsia="it-IT" w:bidi="ar-SA"/>
              </w:rPr>
              <w:t>29,21</w:t>
            </w:r>
          </w:p>
        </w:tc>
        <w:tc>
          <w:tcPr>
            <w:tcW w:w="735" w:type="pct"/>
            <w:tcBorders>
              <w:top w:val="nil"/>
              <w:left w:val="nil"/>
              <w:bottom w:val="single" w:sz="4" w:space="0" w:color="auto"/>
              <w:right w:val="single" w:sz="4" w:space="0" w:color="auto"/>
            </w:tcBorders>
            <w:shd w:val="clear" w:color="auto" w:fill="auto"/>
            <w:vAlign w:val="center"/>
            <w:hideMark/>
          </w:tcPr>
          <w:p w:rsidR="00423E1B" w:rsidRPr="00423E1B" w:rsidRDefault="00423E1B" w:rsidP="00423E1B">
            <w:pPr>
              <w:suppressAutoHyphens w:val="0"/>
              <w:spacing w:before="0" w:after="0" w:line="240" w:lineRule="auto"/>
              <w:jc w:val="right"/>
              <w:rPr>
                <w:rFonts w:cs="Times New Roman"/>
                <w:color w:val="000000"/>
                <w:sz w:val="20"/>
                <w:lang w:eastAsia="it-IT" w:bidi="ar-SA"/>
              </w:rPr>
            </w:pPr>
            <w:r w:rsidRPr="00423E1B">
              <w:rPr>
                <w:rFonts w:cs="Tahoma"/>
                <w:color w:val="000000"/>
                <w:sz w:val="20"/>
                <w:lang w:eastAsia="it-IT" w:bidi="ar-SA"/>
              </w:rPr>
              <w:t>20,78</w:t>
            </w:r>
          </w:p>
        </w:tc>
        <w:tc>
          <w:tcPr>
            <w:tcW w:w="680" w:type="pct"/>
            <w:tcBorders>
              <w:top w:val="nil"/>
              <w:left w:val="nil"/>
              <w:bottom w:val="single" w:sz="4" w:space="0" w:color="auto"/>
              <w:right w:val="single" w:sz="4" w:space="0" w:color="auto"/>
            </w:tcBorders>
            <w:shd w:val="clear" w:color="000000" w:fill="0070C0"/>
            <w:noWrap/>
            <w:vAlign w:val="bottom"/>
            <w:hideMark/>
          </w:tcPr>
          <w:p w:rsidR="00423E1B" w:rsidRPr="00423E1B" w:rsidRDefault="00423E1B" w:rsidP="00423E1B">
            <w:pPr>
              <w:suppressAutoHyphens w:val="0"/>
              <w:spacing w:before="0" w:after="0" w:line="240" w:lineRule="auto"/>
              <w:rPr>
                <w:rFonts w:cs="Times New Roman"/>
                <w:color w:val="000000"/>
                <w:szCs w:val="22"/>
                <w:lang w:eastAsia="it-IT" w:bidi="ar-SA"/>
              </w:rPr>
            </w:pPr>
            <w:r w:rsidRPr="00423E1B">
              <w:rPr>
                <w:rFonts w:cs="Times New Roman"/>
                <w:color w:val="000000"/>
                <w:szCs w:val="22"/>
                <w:lang w:eastAsia="it-IT" w:bidi="ar-SA"/>
              </w:rPr>
              <w:t> </w:t>
            </w:r>
          </w:p>
        </w:tc>
        <w:tc>
          <w:tcPr>
            <w:tcW w:w="526" w:type="pct"/>
            <w:tcBorders>
              <w:top w:val="nil"/>
              <w:left w:val="nil"/>
              <w:bottom w:val="single" w:sz="4" w:space="0" w:color="auto"/>
              <w:right w:val="single" w:sz="4" w:space="0" w:color="auto"/>
            </w:tcBorders>
            <w:shd w:val="clear" w:color="auto" w:fill="auto"/>
            <w:noWrap/>
            <w:vAlign w:val="bottom"/>
            <w:hideMark/>
          </w:tcPr>
          <w:p w:rsidR="00423E1B" w:rsidRPr="00423E1B" w:rsidRDefault="00423E1B" w:rsidP="00423E1B">
            <w:pPr>
              <w:suppressAutoHyphens w:val="0"/>
              <w:spacing w:before="0" w:after="0" w:line="240" w:lineRule="auto"/>
              <w:rPr>
                <w:rFonts w:cs="Times New Roman"/>
                <w:color w:val="000000"/>
                <w:szCs w:val="22"/>
                <w:lang w:eastAsia="it-IT" w:bidi="ar-SA"/>
              </w:rPr>
            </w:pPr>
            <w:r w:rsidRPr="00423E1B">
              <w:rPr>
                <w:rFonts w:cs="Times New Roman"/>
                <w:color w:val="000000"/>
                <w:szCs w:val="22"/>
                <w:lang w:eastAsia="it-IT" w:bidi="ar-SA"/>
              </w:rPr>
              <w:t> </w:t>
            </w:r>
          </w:p>
        </w:tc>
      </w:tr>
    </w:tbl>
    <w:p w:rsidR="00423E1B" w:rsidRPr="00D47C16" w:rsidRDefault="00423E1B" w:rsidP="00423E1B">
      <w:pPr>
        <w:ind w:right="284"/>
        <w:jc w:val="both"/>
        <w:rPr>
          <w:rFonts w:eastAsia="Calibri"/>
          <w:sz w:val="16"/>
          <w:lang w:eastAsia="en-US"/>
        </w:rPr>
      </w:pPr>
      <w:r>
        <w:rPr>
          <w:rFonts w:eastAsia="Calibri"/>
          <w:sz w:val="16"/>
          <w:lang w:eastAsia="en-US"/>
        </w:rPr>
        <w:t>Fonte: Regione Emilia Romagna, INSIDER, 2017.</w:t>
      </w:r>
    </w:p>
    <w:p w:rsidR="00E27519" w:rsidRPr="004A2DDF" w:rsidRDefault="000F1998">
      <w:pPr>
        <w:spacing w:after="120"/>
        <w:contextualSpacing/>
        <w:jc w:val="both"/>
        <w:rPr>
          <w:rFonts w:eastAsia="Calibri"/>
          <w:sz w:val="20"/>
          <w:lang w:eastAsia="en-US"/>
        </w:rPr>
      </w:pPr>
      <w:r w:rsidRPr="004A2DDF">
        <w:rPr>
          <w:rFonts w:eastAsia="Calibri"/>
          <w:sz w:val="20"/>
          <w:lang w:eastAsia="en-US"/>
        </w:rPr>
        <w:t>Tra gli indicatori riguardanti l’anticorruzione e trasparenza, l’Azienda USL di Modena ha raggiunto il 100% dell’assolvimento degli obblighi di trasparenza.</w:t>
      </w:r>
    </w:p>
    <w:p w:rsidR="000F1998" w:rsidRPr="004A2DDF" w:rsidRDefault="000F1998">
      <w:pPr>
        <w:spacing w:after="120"/>
        <w:contextualSpacing/>
        <w:jc w:val="both"/>
        <w:rPr>
          <w:rFonts w:eastAsia="Calibri"/>
          <w:sz w:val="20"/>
          <w:lang w:eastAsia="en-US"/>
        </w:rPr>
      </w:pPr>
    </w:p>
    <w:p w:rsidR="00E27519" w:rsidRDefault="0003178C">
      <w:pPr>
        <w:ind w:right="284"/>
        <w:jc w:val="both"/>
        <w:rPr>
          <w:rFonts w:eastAsia="Calibri"/>
          <w:sz w:val="20"/>
          <w:lang w:eastAsia="en-US"/>
        </w:rPr>
      </w:pPr>
      <w:r w:rsidRPr="004A2DDF">
        <w:rPr>
          <w:rFonts w:eastAsia="Calibri"/>
          <w:sz w:val="20"/>
          <w:lang w:eastAsia="en-US"/>
        </w:rPr>
        <w:t>Gli indicatori riguardanti la sostenibilità Economico-Finanziaria evidenziano un posizioname</w:t>
      </w:r>
      <w:r w:rsidR="004D60DA" w:rsidRPr="004A2DDF">
        <w:rPr>
          <w:rFonts w:eastAsia="Calibri"/>
          <w:sz w:val="20"/>
          <w:lang w:eastAsia="en-US"/>
        </w:rPr>
        <w:t>nto positivo ad eccezione del costo pro capite assistenza sanitaria collettiva in ambiente di vita e di lavoro (giallo) (MO 59,65 – RER 52,97</w:t>
      </w:r>
      <w:r w:rsidRPr="004A2DDF">
        <w:rPr>
          <w:rFonts w:eastAsia="Calibri"/>
          <w:sz w:val="20"/>
          <w:lang w:eastAsia="en-US"/>
        </w:rPr>
        <w:t xml:space="preserve">) e nel caso </w:t>
      </w:r>
      <w:r w:rsidR="004D60DA" w:rsidRPr="004A2DDF">
        <w:rPr>
          <w:rFonts w:eastAsia="Calibri"/>
          <w:sz w:val="20"/>
          <w:lang w:eastAsia="en-US"/>
        </w:rPr>
        <w:t>della spesa farmaceutica territoriale pro capite (giallo) (MO 168,39 – RER 164,77</w:t>
      </w:r>
      <w:r w:rsidRPr="004A2DDF">
        <w:rPr>
          <w:rFonts w:eastAsia="Calibri"/>
          <w:sz w:val="20"/>
          <w:lang w:eastAsia="en-US"/>
        </w:rPr>
        <w:t>).</w:t>
      </w:r>
    </w:p>
    <w:p w:rsidR="00E27519" w:rsidRDefault="00E27519">
      <w:pPr>
        <w:spacing w:after="120"/>
        <w:contextualSpacing/>
        <w:jc w:val="both"/>
        <w:rPr>
          <w:rFonts w:eastAsia="Calibri"/>
          <w:sz w:val="20"/>
          <w:lang w:eastAsia="en-US"/>
        </w:rPr>
      </w:pPr>
    </w:p>
    <w:p w:rsidR="00E27519" w:rsidRDefault="0003178C">
      <w:pPr>
        <w:spacing w:after="120"/>
        <w:contextualSpacing/>
        <w:jc w:val="both"/>
        <w:rPr>
          <w:rFonts w:eastAsia="Calibri"/>
          <w:sz w:val="20"/>
          <w:lang w:eastAsia="en-US"/>
        </w:rPr>
      </w:pPr>
      <w:r>
        <w:rPr>
          <w:rFonts w:eastAsia="Calibri"/>
          <w:sz w:val="20"/>
          <w:lang w:eastAsia="en-US"/>
        </w:rPr>
        <w:lastRenderedPageBreak/>
        <w:t>Sostenibilità Economico-Finanziaria</w:t>
      </w:r>
    </w:p>
    <w:tbl>
      <w:tblPr>
        <w:tblW w:w="5000" w:type="pct"/>
        <w:tblCellMar>
          <w:left w:w="70" w:type="dxa"/>
          <w:right w:w="70" w:type="dxa"/>
        </w:tblCellMar>
        <w:tblLook w:val="04A0" w:firstRow="1" w:lastRow="0" w:firstColumn="1" w:lastColumn="0" w:noHBand="0" w:noVBand="1"/>
      </w:tblPr>
      <w:tblGrid>
        <w:gridCol w:w="3727"/>
        <w:gridCol w:w="1105"/>
        <w:gridCol w:w="1474"/>
        <w:gridCol w:w="1517"/>
        <w:gridCol w:w="1268"/>
        <w:gridCol w:w="1105"/>
      </w:tblGrid>
      <w:tr w:rsidR="004D60DA" w:rsidRPr="004D60DA" w:rsidTr="004D60DA">
        <w:trPr>
          <w:trHeight w:val="510"/>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Indicatore</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center"/>
              <w:rPr>
                <w:rFonts w:cs="Times New Roman"/>
                <w:color w:val="000000"/>
                <w:sz w:val="20"/>
                <w:lang w:eastAsia="it-IT" w:bidi="ar-SA"/>
              </w:rPr>
            </w:pPr>
            <w:r w:rsidRPr="004D60DA">
              <w:rPr>
                <w:rFonts w:cs="Tahoma"/>
                <w:color w:val="000000"/>
                <w:sz w:val="20"/>
                <w:lang w:eastAsia="it-IT" w:bidi="ar-SA"/>
              </w:rPr>
              <w:t>Valore Regionale</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AUSL MO 2016</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AUSL MO 2017</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center"/>
              <w:rPr>
                <w:rFonts w:cs="Times New Roman"/>
                <w:color w:val="000000"/>
                <w:sz w:val="20"/>
                <w:lang w:eastAsia="it-IT" w:bidi="ar-SA"/>
              </w:rPr>
            </w:pPr>
            <w:r w:rsidRPr="004D60DA">
              <w:rPr>
                <w:rFonts w:cs="Times New Roman"/>
                <w:color w:val="000000"/>
                <w:sz w:val="20"/>
                <w:lang w:eastAsia="it-IT" w:bidi="ar-SA"/>
              </w:rPr>
              <w:t>Valutazione 2017</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center"/>
              <w:rPr>
                <w:rFonts w:cs="Times New Roman"/>
                <w:color w:val="000000"/>
                <w:sz w:val="20"/>
                <w:lang w:eastAsia="it-IT" w:bidi="ar-SA"/>
              </w:rPr>
            </w:pPr>
            <w:r w:rsidRPr="004D60DA">
              <w:rPr>
                <w:rFonts w:cs="Times New Roman"/>
                <w:color w:val="000000"/>
                <w:sz w:val="20"/>
                <w:lang w:eastAsia="it-IT" w:bidi="ar-SA"/>
              </w:rPr>
              <w:t>Trend</w:t>
            </w:r>
          </w:p>
        </w:tc>
      </w:tr>
      <w:tr w:rsidR="004D60DA" w:rsidRPr="004D60DA" w:rsidTr="004D60DA">
        <w:trPr>
          <w:trHeight w:val="765"/>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Costo pro capite totale</w:t>
            </w:r>
          </w:p>
        </w:tc>
        <w:tc>
          <w:tcPr>
            <w:tcW w:w="542"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1749,7</w:t>
            </w:r>
          </w:p>
        </w:tc>
        <w:tc>
          <w:tcPr>
            <w:tcW w:w="72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1749,83</w:t>
            </w:r>
          </w:p>
        </w:tc>
        <w:tc>
          <w:tcPr>
            <w:tcW w:w="744"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1741,49</w:t>
            </w:r>
          </w:p>
        </w:tc>
        <w:tc>
          <w:tcPr>
            <w:tcW w:w="622" w:type="pct"/>
            <w:tcBorders>
              <w:top w:val="nil"/>
              <w:left w:val="nil"/>
              <w:bottom w:val="single" w:sz="4" w:space="0" w:color="auto"/>
              <w:right w:val="single" w:sz="4" w:space="0" w:color="auto"/>
            </w:tcBorders>
            <w:shd w:val="clear" w:color="000000" w:fill="92D050"/>
            <w:noWrap/>
            <w:vAlign w:val="bottom"/>
            <w:hideMark/>
          </w:tcPr>
          <w:p w:rsidR="004D60DA" w:rsidRPr="004D60DA" w:rsidRDefault="004D60DA" w:rsidP="004D60DA">
            <w:pPr>
              <w:suppressAutoHyphens w:val="0"/>
              <w:spacing w:before="0" w:after="0" w:line="240" w:lineRule="auto"/>
              <w:rPr>
                <w:rFonts w:cs="Times New Roman"/>
                <w:color w:val="000000"/>
                <w:szCs w:val="22"/>
                <w:lang w:eastAsia="it-IT" w:bidi="ar-SA"/>
              </w:rPr>
            </w:pPr>
            <w:r w:rsidRPr="004D60DA">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center"/>
              <w:rPr>
                <w:rFonts w:cs="Times New Roman"/>
                <w:color w:val="00B050"/>
                <w:sz w:val="36"/>
                <w:szCs w:val="36"/>
                <w:lang w:eastAsia="it-IT" w:bidi="ar-SA"/>
              </w:rPr>
            </w:pPr>
            <w:r w:rsidRPr="004D60DA">
              <w:rPr>
                <w:rFonts w:cs="Times New Roman"/>
                <w:color w:val="00B050"/>
                <w:sz w:val="36"/>
                <w:szCs w:val="36"/>
                <w:lang w:eastAsia="it-IT" w:bidi="ar-SA"/>
              </w:rPr>
              <w:t>↑</w:t>
            </w:r>
          </w:p>
        </w:tc>
      </w:tr>
      <w:tr w:rsidR="004D60DA" w:rsidRPr="004D60DA" w:rsidTr="004D60DA">
        <w:trPr>
          <w:trHeight w:val="765"/>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Costo pro capite assistenza sanitaria collettiva in ambiente di vita e di lavoro</w:t>
            </w:r>
          </w:p>
        </w:tc>
        <w:tc>
          <w:tcPr>
            <w:tcW w:w="542"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52,97</w:t>
            </w:r>
          </w:p>
        </w:tc>
        <w:tc>
          <w:tcPr>
            <w:tcW w:w="72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56,78</w:t>
            </w:r>
          </w:p>
        </w:tc>
        <w:tc>
          <w:tcPr>
            <w:tcW w:w="744"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59,65</w:t>
            </w:r>
          </w:p>
        </w:tc>
        <w:tc>
          <w:tcPr>
            <w:tcW w:w="622" w:type="pct"/>
            <w:tcBorders>
              <w:top w:val="nil"/>
              <w:left w:val="nil"/>
              <w:bottom w:val="single" w:sz="4" w:space="0" w:color="auto"/>
              <w:right w:val="single" w:sz="4" w:space="0" w:color="auto"/>
            </w:tcBorders>
            <w:shd w:val="clear" w:color="000000" w:fill="FFFF00"/>
            <w:noWrap/>
            <w:vAlign w:val="bottom"/>
            <w:hideMark/>
          </w:tcPr>
          <w:p w:rsidR="004D60DA" w:rsidRPr="004D60DA" w:rsidRDefault="004D60DA" w:rsidP="004D60DA">
            <w:pPr>
              <w:suppressAutoHyphens w:val="0"/>
              <w:spacing w:before="0" w:after="0" w:line="240" w:lineRule="auto"/>
              <w:rPr>
                <w:rFonts w:cs="Times New Roman"/>
                <w:color w:val="000000"/>
                <w:szCs w:val="22"/>
                <w:lang w:eastAsia="it-IT" w:bidi="ar-SA"/>
              </w:rPr>
            </w:pPr>
            <w:r w:rsidRPr="004D60DA">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center"/>
              <w:rPr>
                <w:rFonts w:cs="Times New Roman"/>
                <w:color w:val="FF0000"/>
                <w:sz w:val="36"/>
                <w:szCs w:val="36"/>
                <w:lang w:eastAsia="it-IT" w:bidi="ar-SA"/>
              </w:rPr>
            </w:pPr>
            <w:r w:rsidRPr="004D60DA">
              <w:rPr>
                <w:rFonts w:cs="Times New Roman"/>
                <w:color w:val="FF0000"/>
                <w:sz w:val="36"/>
                <w:szCs w:val="36"/>
                <w:lang w:eastAsia="it-IT" w:bidi="ar-SA"/>
              </w:rPr>
              <w:t>↓</w:t>
            </w:r>
          </w:p>
        </w:tc>
      </w:tr>
      <w:tr w:rsidR="004D60DA" w:rsidRPr="004D60DA" w:rsidTr="004D60DA">
        <w:trPr>
          <w:trHeight w:val="765"/>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Costo pro capite assistenza distrettuale</w:t>
            </w:r>
          </w:p>
        </w:tc>
        <w:tc>
          <w:tcPr>
            <w:tcW w:w="542"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1044,21</w:t>
            </w:r>
          </w:p>
        </w:tc>
        <w:tc>
          <w:tcPr>
            <w:tcW w:w="72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1028,13</w:t>
            </w:r>
          </w:p>
        </w:tc>
        <w:tc>
          <w:tcPr>
            <w:tcW w:w="744"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1024,84</w:t>
            </w:r>
          </w:p>
        </w:tc>
        <w:tc>
          <w:tcPr>
            <w:tcW w:w="622" w:type="pct"/>
            <w:tcBorders>
              <w:top w:val="nil"/>
              <w:left w:val="nil"/>
              <w:bottom w:val="single" w:sz="4" w:space="0" w:color="auto"/>
              <w:right w:val="single" w:sz="4" w:space="0" w:color="auto"/>
            </w:tcBorders>
            <w:shd w:val="clear" w:color="000000" w:fill="92D050"/>
            <w:noWrap/>
            <w:vAlign w:val="bottom"/>
            <w:hideMark/>
          </w:tcPr>
          <w:p w:rsidR="004D60DA" w:rsidRPr="004D60DA" w:rsidRDefault="004D60DA" w:rsidP="004D60DA">
            <w:pPr>
              <w:suppressAutoHyphens w:val="0"/>
              <w:spacing w:before="0" w:after="0" w:line="240" w:lineRule="auto"/>
              <w:rPr>
                <w:rFonts w:cs="Times New Roman"/>
                <w:color w:val="000000"/>
                <w:szCs w:val="22"/>
                <w:lang w:eastAsia="it-IT" w:bidi="ar-SA"/>
              </w:rPr>
            </w:pPr>
            <w:r w:rsidRPr="004D60DA">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center"/>
              <w:rPr>
                <w:rFonts w:cs="Times New Roman"/>
                <w:color w:val="00B050"/>
                <w:sz w:val="36"/>
                <w:szCs w:val="36"/>
                <w:lang w:eastAsia="it-IT" w:bidi="ar-SA"/>
              </w:rPr>
            </w:pPr>
            <w:r w:rsidRPr="004D60DA">
              <w:rPr>
                <w:rFonts w:cs="Times New Roman"/>
                <w:color w:val="00B050"/>
                <w:sz w:val="36"/>
                <w:szCs w:val="36"/>
                <w:lang w:eastAsia="it-IT" w:bidi="ar-SA"/>
              </w:rPr>
              <w:t>↑</w:t>
            </w:r>
          </w:p>
        </w:tc>
      </w:tr>
      <w:tr w:rsidR="004D60DA" w:rsidRPr="004D60DA" w:rsidTr="004D60DA">
        <w:trPr>
          <w:trHeight w:val="765"/>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Costo pro capite assistenza ospedaliera</w:t>
            </w:r>
          </w:p>
        </w:tc>
        <w:tc>
          <w:tcPr>
            <w:tcW w:w="542"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652,52</w:t>
            </w:r>
          </w:p>
        </w:tc>
        <w:tc>
          <w:tcPr>
            <w:tcW w:w="72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664,01</w:t>
            </w:r>
          </w:p>
        </w:tc>
        <w:tc>
          <w:tcPr>
            <w:tcW w:w="744"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656,75</w:t>
            </w:r>
          </w:p>
        </w:tc>
        <w:tc>
          <w:tcPr>
            <w:tcW w:w="622" w:type="pct"/>
            <w:tcBorders>
              <w:top w:val="nil"/>
              <w:left w:val="nil"/>
              <w:bottom w:val="single" w:sz="4" w:space="0" w:color="auto"/>
              <w:right w:val="single" w:sz="4" w:space="0" w:color="auto"/>
            </w:tcBorders>
            <w:shd w:val="clear" w:color="000000" w:fill="92D050"/>
            <w:noWrap/>
            <w:vAlign w:val="bottom"/>
            <w:hideMark/>
          </w:tcPr>
          <w:p w:rsidR="004D60DA" w:rsidRPr="004D60DA" w:rsidRDefault="004D60DA" w:rsidP="004D60DA">
            <w:pPr>
              <w:suppressAutoHyphens w:val="0"/>
              <w:spacing w:before="0" w:after="0" w:line="240" w:lineRule="auto"/>
              <w:rPr>
                <w:rFonts w:cs="Times New Roman"/>
                <w:color w:val="000000"/>
                <w:szCs w:val="22"/>
                <w:lang w:eastAsia="it-IT" w:bidi="ar-SA"/>
              </w:rPr>
            </w:pPr>
            <w:r w:rsidRPr="004D60DA">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center"/>
              <w:rPr>
                <w:rFonts w:cs="Times New Roman"/>
                <w:color w:val="00B050"/>
                <w:sz w:val="36"/>
                <w:szCs w:val="36"/>
                <w:lang w:eastAsia="it-IT" w:bidi="ar-SA"/>
              </w:rPr>
            </w:pPr>
            <w:r w:rsidRPr="004D60DA">
              <w:rPr>
                <w:rFonts w:cs="Times New Roman"/>
                <w:color w:val="00B050"/>
                <w:sz w:val="36"/>
                <w:szCs w:val="36"/>
                <w:lang w:eastAsia="it-IT" w:bidi="ar-SA"/>
              </w:rPr>
              <w:t>↑</w:t>
            </w:r>
          </w:p>
        </w:tc>
      </w:tr>
      <w:tr w:rsidR="004D60DA" w:rsidRPr="004D60DA" w:rsidTr="004D60DA">
        <w:trPr>
          <w:trHeight w:val="1020"/>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Tasso di copertura flusso DiMe sul conto economico</w:t>
            </w:r>
          </w:p>
        </w:tc>
        <w:tc>
          <w:tcPr>
            <w:tcW w:w="542"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97,48</w:t>
            </w:r>
          </w:p>
        </w:tc>
        <w:tc>
          <w:tcPr>
            <w:tcW w:w="72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98,24</w:t>
            </w:r>
          </w:p>
        </w:tc>
        <w:tc>
          <w:tcPr>
            <w:tcW w:w="744"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96,5</w:t>
            </w:r>
          </w:p>
        </w:tc>
        <w:tc>
          <w:tcPr>
            <w:tcW w:w="622" w:type="pct"/>
            <w:tcBorders>
              <w:top w:val="nil"/>
              <w:left w:val="nil"/>
              <w:bottom w:val="single" w:sz="4" w:space="0" w:color="auto"/>
              <w:right w:val="single" w:sz="4" w:space="0" w:color="auto"/>
            </w:tcBorders>
            <w:shd w:val="clear" w:color="000000" w:fill="00B050"/>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imes New Roman"/>
                <w:color w:val="000000"/>
                <w:sz w:val="20"/>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center"/>
              <w:rPr>
                <w:rFonts w:cs="Times New Roman"/>
                <w:color w:val="FF0000"/>
                <w:sz w:val="36"/>
                <w:szCs w:val="36"/>
                <w:lang w:eastAsia="it-IT" w:bidi="ar-SA"/>
              </w:rPr>
            </w:pPr>
            <w:r w:rsidRPr="004D60DA">
              <w:rPr>
                <w:rFonts w:cs="Times New Roman"/>
                <w:color w:val="FF0000"/>
                <w:sz w:val="36"/>
                <w:szCs w:val="36"/>
                <w:lang w:eastAsia="it-IT" w:bidi="ar-SA"/>
              </w:rPr>
              <w:t>↓</w:t>
            </w:r>
          </w:p>
        </w:tc>
      </w:tr>
      <w:tr w:rsidR="004D60DA" w:rsidRPr="004D60DA" w:rsidTr="004D60DA">
        <w:trPr>
          <w:trHeight w:val="1020"/>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 di consumo di molecole non coperte da brevetto e presenti nelle liste di trasparenza</w:t>
            </w:r>
          </w:p>
        </w:tc>
        <w:tc>
          <w:tcPr>
            <w:tcW w:w="542"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83,65</w:t>
            </w:r>
          </w:p>
        </w:tc>
        <w:tc>
          <w:tcPr>
            <w:tcW w:w="72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78,81</w:t>
            </w:r>
          </w:p>
        </w:tc>
        <w:tc>
          <w:tcPr>
            <w:tcW w:w="744"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83,5</w:t>
            </w:r>
          </w:p>
        </w:tc>
        <w:tc>
          <w:tcPr>
            <w:tcW w:w="622" w:type="pct"/>
            <w:tcBorders>
              <w:top w:val="nil"/>
              <w:left w:val="nil"/>
              <w:bottom w:val="single" w:sz="4" w:space="0" w:color="auto"/>
              <w:right w:val="single" w:sz="4" w:space="0" w:color="auto"/>
            </w:tcBorders>
            <w:shd w:val="clear" w:color="000000" w:fill="00B050"/>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imes New Roman"/>
                <w:color w:val="000000"/>
                <w:sz w:val="20"/>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center"/>
              <w:rPr>
                <w:rFonts w:cs="Times New Roman"/>
                <w:color w:val="00B050"/>
                <w:sz w:val="36"/>
                <w:szCs w:val="36"/>
                <w:lang w:eastAsia="it-IT" w:bidi="ar-SA"/>
              </w:rPr>
            </w:pPr>
            <w:r w:rsidRPr="004D60DA">
              <w:rPr>
                <w:rFonts w:cs="Times New Roman"/>
                <w:color w:val="00B050"/>
                <w:sz w:val="36"/>
                <w:szCs w:val="36"/>
                <w:lang w:eastAsia="it-IT" w:bidi="ar-SA"/>
              </w:rPr>
              <w:t>↑</w:t>
            </w:r>
          </w:p>
        </w:tc>
      </w:tr>
      <w:tr w:rsidR="004D60DA" w:rsidRPr="004D60DA" w:rsidTr="004D60DA">
        <w:trPr>
          <w:trHeight w:val="1275"/>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Spesa farmaceutica territoriale pro-capite</w:t>
            </w:r>
          </w:p>
        </w:tc>
        <w:tc>
          <w:tcPr>
            <w:tcW w:w="542"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164,77</w:t>
            </w:r>
          </w:p>
        </w:tc>
        <w:tc>
          <w:tcPr>
            <w:tcW w:w="72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170,32</w:t>
            </w:r>
          </w:p>
        </w:tc>
        <w:tc>
          <w:tcPr>
            <w:tcW w:w="744"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168,39</w:t>
            </w:r>
          </w:p>
        </w:tc>
        <w:tc>
          <w:tcPr>
            <w:tcW w:w="622" w:type="pct"/>
            <w:tcBorders>
              <w:top w:val="nil"/>
              <w:left w:val="nil"/>
              <w:bottom w:val="single" w:sz="4" w:space="0" w:color="auto"/>
              <w:right w:val="single" w:sz="4" w:space="0" w:color="auto"/>
            </w:tcBorders>
            <w:shd w:val="clear" w:color="000000" w:fill="FFFF00"/>
            <w:noWrap/>
            <w:vAlign w:val="bottom"/>
            <w:hideMark/>
          </w:tcPr>
          <w:p w:rsidR="004D60DA" w:rsidRPr="004D60DA" w:rsidRDefault="004D60DA" w:rsidP="004D60DA">
            <w:pPr>
              <w:suppressAutoHyphens w:val="0"/>
              <w:spacing w:before="0" w:after="0" w:line="240" w:lineRule="auto"/>
              <w:rPr>
                <w:rFonts w:cs="Times New Roman"/>
                <w:color w:val="000000"/>
                <w:szCs w:val="22"/>
                <w:lang w:eastAsia="it-IT" w:bidi="ar-SA"/>
              </w:rPr>
            </w:pPr>
            <w:r w:rsidRPr="004D60DA">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center"/>
              <w:rPr>
                <w:rFonts w:cs="Times New Roman"/>
                <w:color w:val="00B050"/>
                <w:sz w:val="36"/>
                <w:szCs w:val="36"/>
                <w:lang w:eastAsia="it-IT" w:bidi="ar-SA"/>
              </w:rPr>
            </w:pPr>
            <w:r w:rsidRPr="004D60DA">
              <w:rPr>
                <w:rFonts w:cs="Times New Roman"/>
                <w:color w:val="00B050"/>
                <w:sz w:val="36"/>
                <w:szCs w:val="36"/>
                <w:lang w:eastAsia="it-IT" w:bidi="ar-SA"/>
              </w:rPr>
              <w:t>↑</w:t>
            </w:r>
          </w:p>
        </w:tc>
      </w:tr>
      <w:tr w:rsidR="004D60DA" w:rsidRPr="004D60DA" w:rsidTr="004D60DA">
        <w:trPr>
          <w:trHeight w:val="765"/>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Spesa farmaceutica ospedaliera per punto DRG</w:t>
            </w:r>
          </w:p>
        </w:tc>
        <w:tc>
          <w:tcPr>
            <w:tcW w:w="542"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143,39</w:t>
            </w:r>
          </w:p>
        </w:tc>
        <w:tc>
          <w:tcPr>
            <w:tcW w:w="72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249,65</w:t>
            </w:r>
          </w:p>
        </w:tc>
        <w:tc>
          <w:tcPr>
            <w:tcW w:w="744"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88,15</w:t>
            </w:r>
          </w:p>
        </w:tc>
        <w:tc>
          <w:tcPr>
            <w:tcW w:w="622" w:type="pct"/>
            <w:tcBorders>
              <w:top w:val="nil"/>
              <w:left w:val="nil"/>
              <w:bottom w:val="single" w:sz="4" w:space="0" w:color="auto"/>
              <w:right w:val="single" w:sz="4" w:space="0" w:color="auto"/>
            </w:tcBorders>
            <w:shd w:val="clear" w:color="000000" w:fill="0070C0"/>
            <w:noWrap/>
            <w:vAlign w:val="bottom"/>
            <w:hideMark/>
          </w:tcPr>
          <w:p w:rsidR="004D60DA" w:rsidRPr="004D60DA" w:rsidRDefault="004D60DA" w:rsidP="004D60DA">
            <w:pPr>
              <w:suppressAutoHyphens w:val="0"/>
              <w:spacing w:before="0" w:after="0" w:line="240" w:lineRule="auto"/>
              <w:rPr>
                <w:rFonts w:cs="Times New Roman"/>
                <w:color w:val="000000"/>
                <w:szCs w:val="22"/>
                <w:lang w:eastAsia="it-IT" w:bidi="ar-SA"/>
              </w:rPr>
            </w:pPr>
            <w:r w:rsidRPr="004D60DA">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noWrap/>
            <w:vAlign w:val="bottom"/>
            <w:hideMark/>
          </w:tcPr>
          <w:p w:rsidR="004D60DA" w:rsidRPr="004D60DA" w:rsidRDefault="004D60DA" w:rsidP="004D60DA">
            <w:pPr>
              <w:suppressAutoHyphens w:val="0"/>
              <w:spacing w:before="0" w:after="0" w:line="240" w:lineRule="auto"/>
              <w:rPr>
                <w:rFonts w:cs="Times New Roman"/>
                <w:color w:val="000000"/>
                <w:szCs w:val="22"/>
                <w:lang w:eastAsia="it-IT" w:bidi="ar-SA"/>
              </w:rPr>
            </w:pPr>
            <w:r w:rsidRPr="004D60DA">
              <w:rPr>
                <w:rFonts w:cs="Times New Roman"/>
                <w:color w:val="000000"/>
                <w:szCs w:val="22"/>
                <w:lang w:eastAsia="it-IT" w:bidi="ar-SA"/>
              </w:rPr>
              <w:t> </w:t>
            </w:r>
          </w:p>
        </w:tc>
      </w:tr>
      <w:tr w:rsidR="004D60DA" w:rsidRPr="004D60DA" w:rsidTr="004D60DA">
        <w:trPr>
          <w:trHeight w:val="1275"/>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rPr>
                <w:rFonts w:cs="Times New Roman"/>
                <w:color w:val="000000"/>
                <w:sz w:val="20"/>
                <w:lang w:eastAsia="it-IT" w:bidi="ar-SA"/>
              </w:rPr>
            </w:pPr>
            <w:r w:rsidRPr="004D60DA">
              <w:rPr>
                <w:rFonts w:cs="Tahoma"/>
                <w:color w:val="000000"/>
                <w:sz w:val="20"/>
                <w:lang w:eastAsia="it-IT" w:bidi="ar-SA"/>
              </w:rPr>
              <w:t>Indicatore annuale di tempestività dei pagamenti</w:t>
            </w:r>
          </w:p>
        </w:tc>
        <w:tc>
          <w:tcPr>
            <w:tcW w:w="542"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w:t>
            </w:r>
          </w:p>
        </w:tc>
        <w:tc>
          <w:tcPr>
            <w:tcW w:w="723"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12</w:t>
            </w:r>
          </w:p>
        </w:tc>
        <w:tc>
          <w:tcPr>
            <w:tcW w:w="744" w:type="pct"/>
            <w:tcBorders>
              <w:top w:val="nil"/>
              <w:left w:val="nil"/>
              <w:bottom w:val="single" w:sz="4" w:space="0" w:color="auto"/>
              <w:right w:val="single" w:sz="4" w:space="0" w:color="auto"/>
            </w:tcBorders>
            <w:shd w:val="clear" w:color="auto" w:fill="auto"/>
            <w:vAlign w:val="center"/>
            <w:hideMark/>
          </w:tcPr>
          <w:p w:rsidR="004D60DA" w:rsidRPr="004D60DA" w:rsidRDefault="004D60DA" w:rsidP="004D60DA">
            <w:pPr>
              <w:suppressAutoHyphens w:val="0"/>
              <w:spacing w:before="0" w:after="0" w:line="240" w:lineRule="auto"/>
              <w:jc w:val="right"/>
              <w:rPr>
                <w:rFonts w:cs="Times New Roman"/>
                <w:color w:val="000000"/>
                <w:sz w:val="20"/>
                <w:lang w:eastAsia="it-IT" w:bidi="ar-SA"/>
              </w:rPr>
            </w:pPr>
            <w:r w:rsidRPr="004D60DA">
              <w:rPr>
                <w:rFonts w:cs="Tahoma"/>
                <w:color w:val="000000"/>
                <w:sz w:val="20"/>
                <w:lang w:eastAsia="it-IT" w:bidi="ar-SA"/>
              </w:rPr>
              <w:t>-15</w:t>
            </w:r>
          </w:p>
        </w:tc>
        <w:tc>
          <w:tcPr>
            <w:tcW w:w="622" w:type="pct"/>
            <w:tcBorders>
              <w:top w:val="nil"/>
              <w:left w:val="nil"/>
              <w:bottom w:val="single" w:sz="4" w:space="0" w:color="auto"/>
              <w:right w:val="single" w:sz="4" w:space="0" w:color="auto"/>
            </w:tcBorders>
            <w:shd w:val="clear" w:color="000000" w:fill="0070C0"/>
            <w:noWrap/>
            <w:vAlign w:val="bottom"/>
            <w:hideMark/>
          </w:tcPr>
          <w:p w:rsidR="004D60DA" w:rsidRPr="004D60DA" w:rsidRDefault="004D60DA" w:rsidP="004D60DA">
            <w:pPr>
              <w:suppressAutoHyphens w:val="0"/>
              <w:spacing w:before="0" w:after="0" w:line="240" w:lineRule="auto"/>
              <w:rPr>
                <w:rFonts w:cs="Times New Roman"/>
                <w:color w:val="000000"/>
                <w:szCs w:val="22"/>
                <w:lang w:eastAsia="it-IT" w:bidi="ar-SA"/>
              </w:rPr>
            </w:pPr>
            <w:r w:rsidRPr="004D60DA">
              <w:rPr>
                <w:rFonts w:cs="Times New Roman"/>
                <w:color w:val="000000"/>
                <w:szCs w:val="22"/>
                <w:lang w:eastAsia="it-IT" w:bidi="ar-SA"/>
              </w:rPr>
              <w:t> </w:t>
            </w:r>
          </w:p>
        </w:tc>
        <w:tc>
          <w:tcPr>
            <w:tcW w:w="543" w:type="pct"/>
            <w:tcBorders>
              <w:top w:val="nil"/>
              <w:left w:val="nil"/>
              <w:bottom w:val="single" w:sz="4" w:space="0" w:color="auto"/>
              <w:right w:val="single" w:sz="4" w:space="0" w:color="auto"/>
            </w:tcBorders>
            <w:shd w:val="clear" w:color="auto" w:fill="auto"/>
            <w:noWrap/>
            <w:vAlign w:val="bottom"/>
            <w:hideMark/>
          </w:tcPr>
          <w:p w:rsidR="004D60DA" w:rsidRPr="004D60DA" w:rsidRDefault="004D60DA" w:rsidP="004D60DA">
            <w:pPr>
              <w:suppressAutoHyphens w:val="0"/>
              <w:spacing w:before="0" w:after="0" w:line="240" w:lineRule="auto"/>
              <w:rPr>
                <w:rFonts w:cs="Times New Roman"/>
                <w:color w:val="000000"/>
                <w:szCs w:val="22"/>
                <w:lang w:eastAsia="it-IT" w:bidi="ar-SA"/>
              </w:rPr>
            </w:pPr>
            <w:r w:rsidRPr="004D60DA">
              <w:rPr>
                <w:rFonts w:cs="Times New Roman"/>
                <w:color w:val="000000"/>
                <w:szCs w:val="22"/>
                <w:lang w:eastAsia="it-IT" w:bidi="ar-SA"/>
              </w:rPr>
              <w:t> </w:t>
            </w:r>
          </w:p>
        </w:tc>
      </w:tr>
    </w:tbl>
    <w:p w:rsidR="004D60DA" w:rsidRDefault="004D60DA" w:rsidP="004D60DA">
      <w:pPr>
        <w:ind w:right="284"/>
        <w:jc w:val="both"/>
        <w:rPr>
          <w:rFonts w:eastAsia="Calibri"/>
          <w:sz w:val="16"/>
          <w:lang w:eastAsia="en-US"/>
        </w:rPr>
      </w:pPr>
      <w:r>
        <w:rPr>
          <w:rFonts w:eastAsia="Calibri"/>
          <w:sz w:val="16"/>
          <w:lang w:eastAsia="en-US"/>
        </w:rPr>
        <w:t>Fonte: Regione Emilia Romagna, INSIDER, 2017.</w:t>
      </w:r>
    </w:p>
    <w:p w:rsidR="00E80EB2" w:rsidRPr="00D47C16" w:rsidRDefault="00E80EB2" w:rsidP="004D60DA">
      <w:pPr>
        <w:ind w:right="284"/>
        <w:jc w:val="both"/>
        <w:rPr>
          <w:rFonts w:eastAsia="Calibri"/>
          <w:sz w:val="16"/>
          <w:lang w:eastAsia="en-US"/>
        </w:rPr>
      </w:pPr>
    </w:p>
    <w:p w:rsidR="00E80EB2" w:rsidRDefault="00E80EB2" w:rsidP="00E80EB2">
      <w:pPr>
        <w:pStyle w:val="Titolo3Verdana"/>
        <w:rPr>
          <w:rFonts w:asciiTheme="minorHAnsi" w:eastAsia="Calibri" w:hAnsiTheme="minorHAnsi"/>
          <w:lang w:val="it-IT"/>
        </w:rPr>
      </w:pPr>
      <w:bookmarkStart w:id="40" w:name="_Toc518040073"/>
      <w:r>
        <w:rPr>
          <w:rFonts w:asciiTheme="minorHAnsi" w:eastAsia="Calibri" w:hAnsiTheme="minorHAnsi"/>
          <w:lang w:val="it-IT"/>
        </w:rPr>
        <w:t>6</w:t>
      </w:r>
      <w:r>
        <w:rPr>
          <w:rFonts w:asciiTheme="minorHAnsi" w:eastAsia="Calibri" w:hAnsiTheme="minorHAnsi"/>
        </w:rPr>
        <w:t>.</w:t>
      </w:r>
      <w:r>
        <w:rPr>
          <w:rFonts w:asciiTheme="minorHAnsi" w:eastAsia="Calibri" w:hAnsiTheme="minorHAnsi"/>
          <w:lang w:val="it-IT"/>
        </w:rPr>
        <w:t>3</w:t>
      </w:r>
      <w:r>
        <w:rPr>
          <w:rFonts w:asciiTheme="minorHAnsi" w:eastAsia="Calibri" w:hAnsiTheme="minorHAnsi"/>
        </w:rPr>
        <w:t xml:space="preserve"> Sistema di valutazione </w:t>
      </w:r>
      <w:r>
        <w:rPr>
          <w:rFonts w:asciiTheme="minorHAnsi" w:eastAsia="Calibri" w:hAnsiTheme="minorHAnsi"/>
          <w:lang w:val="it-IT"/>
        </w:rPr>
        <w:t>INSIDER – Griglia LEA</w:t>
      </w:r>
      <w:bookmarkEnd w:id="40"/>
    </w:p>
    <w:p w:rsidR="00DC3277" w:rsidRDefault="00DC3277">
      <w:pPr>
        <w:suppressAutoHyphens w:val="0"/>
        <w:spacing w:before="0"/>
        <w:rPr>
          <w:rFonts w:eastAsia="Calibri"/>
          <w:sz w:val="20"/>
          <w:lang w:eastAsia="en-US"/>
        </w:rPr>
      </w:pPr>
      <w:r>
        <w:rPr>
          <w:rFonts w:eastAsia="Calibri"/>
          <w:sz w:val="20"/>
          <w:lang w:eastAsia="en-US"/>
        </w:rPr>
        <w:t>Nella tabella seguente sono riportati i dati di raggiungimento</w:t>
      </w:r>
      <w:r w:rsidR="003A0844">
        <w:rPr>
          <w:rFonts w:eastAsia="Calibri"/>
          <w:sz w:val="20"/>
          <w:lang w:eastAsia="en-US"/>
        </w:rPr>
        <w:t xml:space="preserve"> 2017 </w:t>
      </w:r>
      <w:r>
        <w:rPr>
          <w:rFonts w:eastAsia="Calibri"/>
          <w:sz w:val="20"/>
          <w:lang w:eastAsia="en-US"/>
        </w:rPr>
        <w:t xml:space="preserve"> degli obiettivi assegnati </w:t>
      </w:r>
      <w:r w:rsidR="003A0844">
        <w:rPr>
          <w:rFonts w:eastAsia="Calibri"/>
          <w:sz w:val="20"/>
          <w:lang w:eastAsia="en-US"/>
        </w:rPr>
        <w:t>nei</w:t>
      </w:r>
      <w:r>
        <w:rPr>
          <w:rFonts w:eastAsia="Calibri"/>
          <w:sz w:val="20"/>
          <w:lang w:eastAsia="en-US"/>
        </w:rPr>
        <w:t xml:space="preserve"> LEA</w:t>
      </w:r>
      <w:r w:rsidR="003A0844">
        <w:rPr>
          <w:rFonts w:eastAsia="Calibri"/>
          <w:sz w:val="20"/>
          <w:lang w:eastAsia="en-US"/>
        </w:rPr>
        <w:t xml:space="preserve"> in rapporto al dato medio Regionale (Fonte: piattaforma RER INSIDER). Complessivamente il dato di Modena è allineato a quello medio regionale, in 7 casi è migliore, in 2 casi inferiore (</w:t>
      </w:r>
      <w:r w:rsidR="003A0844" w:rsidRPr="003A0844">
        <w:rPr>
          <w:rFonts w:eastAsia="Calibri"/>
          <w:sz w:val="20"/>
          <w:lang w:eastAsia="en-US"/>
        </w:rPr>
        <w:t>Tasso std ospedalizzazione in età pediatrica (&lt; 18 anni) per asma e gastroenterite x 100.000 abitanti</w:t>
      </w:r>
      <w:r w:rsidR="003A0844">
        <w:rPr>
          <w:rFonts w:eastAsia="Calibri"/>
          <w:sz w:val="20"/>
          <w:lang w:eastAsia="en-US"/>
        </w:rPr>
        <w:t xml:space="preserve"> e </w:t>
      </w:r>
      <w:r w:rsidR="003A0844" w:rsidRPr="003A0844">
        <w:rPr>
          <w:rFonts w:eastAsia="Calibri"/>
          <w:sz w:val="20"/>
          <w:lang w:eastAsia="en-US"/>
        </w:rPr>
        <w:t>Posti letto attivi in hospice sul totale dei deceduti per tumore (per 100)</w:t>
      </w:r>
      <w:r w:rsidR="003A0844">
        <w:rPr>
          <w:rFonts w:eastAsia="Calibri"/>
          <w:sz w:val="20"/>
          <w:lang w:eastAsia="en-US"/>
        </w:rPr>
        <w:t xml:space="preserve">), entrambi in situazioni cui l’Azienda sta cercando di migliorare. </w:t>
      </w:r>
    </w:p>
    <w:p w:rsidR="002C1BD4" w:rsidRDefault="003A0844">
      <w:pPr>
        <w:suppressAutoHyphens w:val="0"/>
        <w:spacing w:before="0"/>
        <w:rPr>
          <w:rFonts w:eastAsia="Calibri"/>
          <w:sz w:val="20"/>
          <w:lang w:eastAsia="en-US"/>
        </w:rPr>
      </w:pPr>
      <w:r w:rsidRPr="003A0844">
        <w:rPr>
          <w:rFonts w:eastAsia="Calibri"/>
          <w:noProof/>
          <w:lang w:eastAsia="it-IT" w:bidi="ar-SA"/>
        </w:rPr>
        <w:lastRenderedPageBreak/>
        <w:drawing>
          <wp:inline distT="0" distB="0" distL="0" distR="0">
            <wp:extent cx="6480810" cy="8462086"/>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0810" cy="8462086"/>
                    </a:xfrm>
                    <a:prstGeom prst="rect">
                      <a:avLst/>
                    </a:prstGeom>
                    <a:noFill/>
                    <a:ln>
                      <a:noFill/>
                    </a:ln>
                  </pic:spPr>
                </pic:pic>
              </a:graphicData>
            </a:graphic>
          </wp:inline>
        </w:drawing>
      </w:r>
    </w:p>
    <w:p w:rsidR="002C1BD4" w:rsidRPr="002C1BD4" w:rsidRDefault="002C1BD4" w:rsidP="002C1BD4">
      <w:pPr>
        <w:pStyle w:val="Titolo3Verdana"/>
        <w:rPr>
          <w:rFonts w:asciiTheme="minorHAnsi" w:eastAsia="Calibri" w:hAnsiTheme="minorHAnsi"/>
          <w:lang w:val="it-IT"/>
        </w:rPr>
      </w:pPr>
      <w:bookmarkStart w:id="41" w:name="_Toc518040074"/>
      <w:r>
        <w:rPr>
          <w:rFonts w:asciiTheme="minorHAnsi" w:eastAsia="Calibri" w:hAnsiTheme="minorHAnsi"/>
          <w:lang w:val="it-IT"/>
        </w:rPr>
        <w:lastRenderedPageBreak/>
        <w:t>6.</w:t>
      </w:r>
      <w:r w:rsidR="00CE6D7B">
        <w:rPr>
          <w:rFonts w:asciiTheme="minorHAnsi" w:eastAsia="Calibri" w:hAnsiTheme="minorHAnsi"/>
          <w:lang w:val="it-IT"/>
        </w:rPr>
        <w:t>4</w:t>
      </w:r>
      <w:r>
        <w:rPr>
          <w:rFonts w:asciiTheme="minorHAnsi" w:eastAsia="Calibri" w:hAnsiTheme="minorHAnsi"/>
          <w:lang w:val="it-IT"/>
        </w:rPr>
        <w:t xml:space="preserve"> </w:t>
      </w:r>
      <w:r w:rsidRPr="002C1BD4">
        <w:rPr>
          <w:rFonts w:asciiTheme="minorHAnsi" w:eastAsia="Calibri" w:hAnsiTheme="minorHAnsi"/>
          <w:lang w:val="it-IT"/>
        </w:rPr>
        <w:t>Politiche per la trasparenza e l’integrità</w:t>
      </w:r>
      <w:bookmarkEnd w:id="41"/>
    </w:p>
    <w:p w:rsidR="002C1BD4" w:rsidRDefault="002C1BD4" w:rsidP="002C1BD4">
      <w:r>
        <w:t>Nel corso del 2017 l’Azienda ha proseguito il percorso legato alla promozione dell’etica e dell’integrità del proprio agire. Sono state adottate diverse iniziative fra cui ricordiamo le principali:</w:t>
      </w:r>
    </w:p>
    <w:p w:rsidR="002C1BD4" w:rsidRDefault="002C1BD4" w:rsidP="002C1BD4">
      <w:pPr>
        <w:pStyle w:val="Paragrafoelenco"/>
        <w:numPr>
          <w:ilvl w:val="0"/>
          <w:numId w:val="39"/>
        </w:numPr>
        <w:suppressAutoHyphens w:val="0"/>
        <w:spacing w:before="0" w:after="200" w:line="276" w:lineRule="auto"/>
        <w:jc w:val="both"/>
      </w:pPr>
      <w:r>
        <w:t xml:space="preserve">la nuova modalità di </w:t>
      </w:r>
      <w:r w:rsidRPr="00D64B07">
        <w:t>valutazione del rischio di corruzione per tutte le strutture e i processi aziendali;</w:t>
      </w:r>
    </w:p>
    <w:p w:rsidR="002C1BD4" w:rsidRPr="00D64B07" w:rsidRDefault="002C1BD4" w:rsidP="002C1BD4">
      <w:pPr>
        <w:pStyle w:val="Paragrafoelenco"/>
        <w:numPr>
          <w:ilvl w:val="0"/>
          <w:numId w:val="39"/>
        </w:numPr>
        <w:suppressAutoHyphens w:val="0"/>
        <w:spacing w:before="0" w:after="200" w:line="276" w:lineRule="auto"/>
        <w:jc w:val="both"/>
      </w:pPr>
      <w:r>
        <w:t>l’</w:t>
      </w:r>
      <w:r w:rsidRPr="00D64B07">
        <w:t xml:space="preserve">implementazione delle misure previste </w:t>
      </w:r>
      <w:r>
        <w:t>nel Piano triennale per la Prevenzione della Corruzione e la Trasparenza 2017-2019;</w:t>
      </w:r>
    </w:p>
    <w:p w:rsidR="002C1BD4" w:rsidRDefault="002C1BD4" w:rsidP="002C1BD4">
      <w:pPr>
        <w:pStyle w:val="Paragrafoelenco"/>
        <w:numPr>
          <w:ilvl w:val="0"/>
          <w:numId w:val="39"/>
        </w:numPr>
        <w:suppressAutoHyphens w:val="0"/>
        <w:spacing w:before="0" w:after="200" w:line="276" w:lineRule="auto"/>
        <w:jc w:val="both"/>
      </w:pPr>
      <w:r>
        <w:t>l’istituzione del canale criptato per la raccolta delle segnalazioni (</w:t>
      </w:r>
      <w:hyperlink r:id="rId54" w:history="1">
        <w:r w:rsidRPr="005A3591">
          <w:rPr>
            <w:rStyle w:val="Collegamentoipertestuale"/>
          </w:rPr>
          <w:t>www.ausl.mo.it/whistleblowing</w:t>
        </w:r>
      </w:hyperlink>
      <w:r>
        <w:t>);</w:t>
      </w:r>
    </w:p>
    <w:p w:rsidR="002C1BD4" w:rsidRDefault="002C1BD4" w:rsidP="002C1BD4">
      <w:pPr>
        <w:pStyle w:val="Paragrafoelenco"/>
        <w:numPr>
          <w:ilvl w:val="0"/>
          <w:numId w:val="39"/>
        </w:numPr>
        <w:suppressAutoHyphens w:val="0"/>
        <w:spacing w:before="0" w:after="200" w:line="276" w:lineRule="auto"/>
        <w:jc w:val="both"/>
      </w:pPr>
      <w:r>
        <w:t>la definizione del nuovo codice di comportamento in cui son</w:t>
      </w:r>
      <w:r w:rsidR="00BC1395">
        <w:t>o previste specifiche previsioni</w:t>
      </w:r>
      <w:r>
        <w:t xml:space="preserve"> legate alla ricerca, alle liste di attesa e alla gestione delle camere mortuarie;</w:t>
      </w:r>
    </w:p>
    <w:p w:rsidR="002C1BD4" w:rsidRDefault="002C1BD4" w:rsidP="002C1BD4">
      <w:pPr>
        <w:pStyle w:val="Paragrafoelenco"/>
        <w:numPr>
          <w:ilvl w:val="0"/>
          <w:numId w:val="39"/>
        </w:numPr>
        <w:suppressAutoHyphens w:val="0"/>
        <w:spacing w:before="0" w:after="200" w:line="276" w:lineRule="auto"/>
        <w:jc w:val="both"/>
      </w:pPr>
      <w:r>
        <w:t>l’istituzione del Sistema Aziendale dei Controlli Interni, coordinato dal servizio di Internal Audit aziendale;</w:t>
      </w:r>
    </w:p>
    <w:p w:rsidR="002C1BD4" w:rsidRDefault="002C1BD4" w:rsidP="002C1BD4">
      <w:pPr>
        <w:pStyle w:val="Paragrafoelenco"/>
        <w:numPr>
          <w:ilvl w:val="0"/>
          <w:numId w:val="39"/>
        </w:numPr>
        <w:suppressAutoHyphens w:val="0"/>
        <w:spacing w:before="0" w:after="200" w:line="276" w:lineRule="auto"/>
        <w:jc w:val="both"/>
      </w:pPr>
      <w:r>
        <w:t>la formazione con i dipendenti e gli incontri con i cittadini sui temi dell’etica e dell’integrità;</w:t>
      </w:r>
    </w:p>
    <w:p w:rsidR="002C1BD4" w:rsidRDefault="00BC1395" w:rsidP="002C1BD4">
      <w:pPr>
        <w:pStyle w:val="Paragrafoelenco"/>
        <w:numPr>
          <w:ilvl w:val="0"/>
          <w:numId w:val="39"/>
        </w:numPr>
        <w:suppressAutoHyphens w:val="0"/>
        <w:spacing w:before="0" w:after="200" w:line="276" w:lineRule="auto"/>
        <w:jc w:val="both"/>
      </w:pPr>
      <w:r>
        <w:t xml:space="preserve">la </w:t>
      </w:r>
      <w:r w:rsidR="002C1BD4">
        <w:t>pubblicazione di tutte le informazioni previste per la trasparenza sul sito Amministrazione Trasparente (</w:t>
      </w:r>
      <w:hyperlink r:id="rId55" w:history="1">
        <w:r w:rsidR="002C1BD4" w:rsidRPr="005A3591">
          <w:rPr>
            <w:rStyle w:val="Collegamentoipertestuale"/>
          </w:rPr>
          <w:t>www.ausl.mo.it/trasparenza</w:t>
        </w:r>
      </w:hyperlink>
      <w:r w:rsidR="002C1BD4">
        <w:t>). A questo riguardo l’Organismo Indipendente di Valutazione regionale ha certificato che l’Azienda adempie al 100% alle indicazioni legate alla trasparenza. Lo stesso risultato è ottenuto sul sito ministeriale Bussola della Trasparenza.</w:t>
      </w:r>
    </w:p>
    <w:p w:rsidR="002C1BD4" w:rsidRPr="00D64B07" w:rsidRDefault="002C1BD4" w:rsidP="002C1BD4">
      <w:pPr>
        <w:pStyle w:val="Paragrafoelenco"/>
      </w:pPr>
    </w:p>
    <w:p w:rsidR="002C1BD4" w:rsidRDefault="002C1BD4" w:rsidP="002C1BD4">
      <w:r>
        <w:t>Indice obblighi trasparenza 2017 in %</w:t>
      </w:r>
    </w:p>
    <w:p w:rsidR="002C1BD4" w:rsidRDefault="002C1BD4" w:rsidP="002C1BD4">
      <w:pPr>
        <w:jc w:val="center"/>
      </w:pPr>
      <w:r>
        <w:rPr>
          <w:noProof/>
          <w:lang w:eastAsia="it-IT" w:bidi="ar-SA"/>
        </w:rPr>
        <w:drawing>
          <wp:inline distT="0" distB="0" distL="0" distR="0" wp14:anchorId="72BF0472" wp14:editId="251A77EF">
            <wp:extent cx="1555845" cy="2092486"/>
            <wp:effectExtent l="19050" t="19050" r="25400" b="222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6076" cy="2092797"/>
                    </a:xfrm>
                    <a:prstGeom prst="rect">
                      <a:avLst/>
                    </a:prstGeom>
                    <a:noFill/>
                    <a:ln>
                      <a:solidFill>
                        <a:schemeClr val="accent1"/>
                      </a:solidFill>
                    </a:ln>
                  </pic:spPr>
                </pic:pic>
              </a:graphicData>
            </a:graphic>
          </wp:inline>
        </w:drawing>
      </w:r>
    </w:p>
    <w:p w:rsidR="002C1BD4" w:rsidRDefault="002C1BD4" w:rsidP="002C1BD4"/>
    <w:p w:rsidR="00E27519" w:rsidRDefault="0003178C">
      <w:pPr>
        <w:suppressAutoHyphens w:val="0"/>
        <w:spacing w:before="0"/>
        <w:rPr>
          <w:rFonts w:eastAsia="Calibri"/>
          <w:sz w:val="20"/>
          <w:lang w:eastAsia="en-US"/>
        </w:rPr>
      </w:pPr>
      <w:r>
        <w:rPr>
          <w:rFonts w:eastAsia="Calibri"/>
          <w:sz w:val="20"/>
          <w:lang w:eastAsia="en-US"/>
        </w:rPr>
        <w:br w:type="page"/>
      </w:r>
    </w:p>
    <w:p w:rsidR="00E27519" w:rsidRDefault="0003178C">
      <w:pPr>
        <w:pStyle w:val="Titolo2"/>
        <w:numPr>
          <w:ilvl w:val="1"/>
          <w:numId w:val="6"/>
        </w:numPr>
      </w:pPr>
      <w:bookmarkStart w:id="42" w:name="_Toc518040075"/>
      <w:r>
        <w:lastRenderedPageBreak/>
        <w:t>7. La sostenibilità economico finanziaria</w:t>
      </w:r>
      <w:bookmarkEnd w:id="42"/>
    </w:p>
    <w:p w:rsidR="00E27519" w:rsidRPr="001965DA" w:rsidRDefault="0003178C">
      <w:pPr>
        <w:jc w:val="both"/>
        <w:rPr>
          <w:sz w:val="20"/>
        </w:rPr>
      </w:pPr>
      <w:r w:rsidRPr="001965DA">
        <w:rPr>
          <w:sz w:val="20"/>
        </w:rPr>
        <w:t xml:space="preserve">Negli ultimi anni l’Azienda USL di Modena ha ricevuto una progressiva riduzione del </w:t>
      </w:r>
      <w:r w:rsidR="000D0B61" w:rsidRPr="001965DA">
        <w:rPr>
          <w:sz w:val="20"/>
        </w:rPr>
        <w:t xml:space="preserve">Fondo di Riequilibrio, </w:t>
      </w:r>
      <w:r w:rsidRPr="001965DA">
        <w:rPr>
          <w:sz w:val="20"/>
        </w:rPr>
        <w:t xml:space="preserve">complessivamente </w:t>
      </w:r>
      <w:r w:rsidR="000D0B61" w:rsidRPr="001965DA">
        <w:rPr>
          <w:sz w:val="20"/>
        </w:rPr>
        <w:t xml:space="preserve">si è passati da 28,3 milioni di € assegnati nel 2014 a 5,1 milioni di € nel 2017. Per il 2018 non è prevista assegnazione del fondo di riequilibrio all’Azienda USL di Modena. </w:t>
      </w:r>
      <w:r w:rsidRPr="001965DA">
        <w:rPr>
          <w:sz w:val="20"/>
        </w:rPr>
        <w:t xml:space="preserve">Il perseguimento dell’obiettivo di pareggio di bilancio, nonostante la riduzione del finanziamento totale, è stato quindi possibile grazie ad un rigorosissimo controllo economico e finanziario trasversale di tutte le aree sopradescritte.  </w:t>
      </w:r>
    </w:p>
    <w:p w:rsidR="00E27519" w:rsidRPr="001965DA" w:rsidRDefault="00E27519">
      <w:pPr>
        <w:jc w:val="both"/>
        <w:rPr>
          <w:rFonts w:asciiTheme="minorHAnsi" w:hAnsiTheme="minorHAnsi"/>
          <w:sz w:val="20"/>
        </w:rPr>
      </w:pPr>
    </w:p>
    <w:p w:rsidR="00E27519" w:rsidRPr="001965DA" w:rsidRDefault="000D0B61">
      <w:pPr>
        <w:jc w:val="both"/>
        <w:rPr>
          <w:rFonts w:asciiTheme="minorHAnsi" w:hAnsiTheme="minorHAnsi"/>
          <w:sz w:val="20"/>
        </w:rPr>
      </w:pPr>
      <w:r w:rsidRPr="001965DA">
        <w:rPr>
          <w:rFonts w:asciiTheme="minorHAnsi" w:hAnsiTheme="minorHAnsi"/>
          <w:noProof/>
          <w:sz w:val="20"/>
          <w:lang w:eastAsia="it-IT" w:bidi="ar-SA"/>
        </w:rPr>
        <w:drawing>
          <wp:inline distT="0" distB="0" distL="0" distR="0" wp14:anchorId="3B772FF6" wp14:editId="4EA4EE94">
            <wp:extent cx="6471285" cy="3437890"/>
            <wp:effectExtent l="0" t="0" r="5715"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1285" cy="3437890"/>
                    </a:xfrm>
                    <a:prstGeom prst="rect">
                      <a:avLst/>
                    </a:prstGeom>
                    <a:noFill/>
                    <a:ln>
                      <a:noFill/>
                    </a:ln>
                  </pic:spPr>
                </pic:pic>
              </a:graphicData>
            </a:graphic>
          </wp:inline>
        </w:drawing>
      </w:r>
    </w:p>
    <w:p w:rsidR="00E27519" w:rsidRPr="001965DA" w:rsidRDefault="0003178C">
      <w:pPr>
        <w:ind w:right="284"/>
        <w:jc w:val="both"/>
        <w:rPr>
          <w:rFonts w:eastAsia="Calibri"/>
          <w:sz w:val="16"/>
          <w:lang w:eastAsia="en-US"/>
        </w:rPr>
      </w:pPr>
      <w:r w:rsidRPr="001965DA">
        <w:rPr>
          <w:rFonts w:eastAsia="Calibri"/>
          <w:sz w:val="16"/>
          <w:lang w:eastAsia="en-US"/>
        </w:rPr>
        <w:t>Fonte: DGR 830/2017 “Linee di programmazione e di finanziamento delle Aziende e degli Enti del Servizio Sanitario regionale per l’anno 2017” Regione Emilia-Romagna</w:t>
      </w:r>
    </w:p>
    <w:p w:rsidR="00E27519" w:rsidRPr="001965DA" w:rsidRDefault="000D0B61">
      <w:pPr>
        <w:jc w:val="both"/>
        <w:rPr>
          <w:sz w:val="20"/>
        </w:rPr>
      </w:pPr>
      <w:r w:rsidRPr="001965DA">
        <w:rPr>
          <w:sz w:val="20"/>
        </w:rPr>
        <w:t>Nel 2017</w:t>
      </w:r>
      <w:r w:rsidR="0003178C" w:rsidRPr="001965DA">
        <w:rPr>
          <w:sz w:val="20"/>
        </w:rPr>
        <w:t>, in linea con gli obiettivi di mandato regionali, è stato rispettato il vincolo del pareggio di bilancio (l’esercizio si è</w:t>
      </w:r>
      <w:r w:rsidRPr="001965DA">
        <w:rPr>
          <w:sz w:val="20"/>
        </w:rPr>
        <w:t xml:space="preserve"> chiuso con un utile di circa 16</w:t>
      </w:r>
      <w:r w:rsidR="0003178C" w:rsidRPr="001965DA">
        <w:rPr>
          <w:sz w:val="20"/>
        </w:rPr>
        <w:t xml:space="preserve"> mila €).  </w:t>
      </w:r>
    </w:p>
    <w:p w:rsidR="00E27519" w:rsidRPr="001965DA" w:rsidRDefault="0003178C">
      <w:pPr>
        <w:pStyle w:val="Titolo3Verdana"/>
        <w:rPr>
          <w:rFonts w:asciiTheme="minorHAnsi" w:eastAsia="Calibri" w:hAnsiTheme="minorHAnsi"/>
        </w:rPr>
      </w:pPr>
      <w:bookmarkStart w:id="43" w:name="_Toc518040076"/>
      <w:r w:rsidRPr="001965DA">
        <w:rPr>
          <w:rFonts w:asciiTheme="minorHAnsi" w:eastAsia="Calibri" w:hAnsiTheme="minorHAnsi"/>
          <w:lang w:val="it-IT"/>
        </w:rPr>
        <w:t>7</w:t>
      </w:r>
      <w:r w:rsidRPr="001965DA">
        <w:rPr>
          <w:rFonts w:asciiTheme="minorHAnsi" w:eastAsia="Calibri" w:hAnsiTheme="minorHAnsi"/>
        </w:rPr>
        <w:t xml:space="preserve">.1 Risultato netto di esercizio </w:t>
      </w:r>
      <w:r w:rsidR="00BD31B2" w:rsidRPr="001965DA">
        <w:rPr>
          <w:rFonts w:asciiTheme="minorHAnsi" w:eastAsia="Calibri" w:hAnsiTheme="minorHAnsi"/>
        </w:rPr>
        <w:t>2015-2017</w:t>
      </w:r>
      <w:r w:rsidRPr="001965DA">
        <w:rPr>
          <w:rFonts w:asciiTheme="minorHAnsi" w:eastAsia="Calibri" w:hAnsiTheme="minorHAnsi"/>
        </w:rPr>
        <w:t xml:space="preserve"> (in euro)</w:t>
      </w:r>
      <w:bookmarkEnd w:id="43"/>
    </w:p>
    <w:tbl>
      <w:tblPr>
        <w:tblW w:w="5000" w:type="pct"/>
        <w:tblCellMar>
          <w:left w:w="70" w:type="dxa"/>
          <w:right w:w="70" w:type="dxa"/>
        </w:tblCellMar>
        <w:tblLook w:val="04A0" w:firstRow="1" w:lastRow="0" w:firstColumn="1" w:lastColumn="0" w:noHBand="0" w:noVBand="1"/>
      </w:tblPr>
      <w:tblGrid>
        <w:gridCol w:w="2549"/>
        <w:gridCol w:w="2549"/>
        <w:gridCol w:w="2549"/>
        <w:gridCol w:w="2549"/>
      </w:tblGrid>
      <w:tr w:rsidR="00BD31B2" w:rsidRPr="001965DA" w:rsidTr="00BD31B2">
        <w:trPr>
          <w:trHeight w:val="300"/>
        </w:trPr>
        <w:tc>
          <w:tcPr>
            <w:tcW w:w="125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D31B2" w:rsidRPr="001965DA" w:rsidRDefault="00BD31B2" w:rsidP="00BD31B2">
            <w:pPr>
              <w:suppressAutoHyphens w:val="0"/>
              <w:spacing w:before="0" w:after="0" w:line="240" w:lineRule="auto"/>
              <w:rPr>
                <w:rFonts w:cs="Times New Roman"/>
                <w:szCs w:val="22"/>
                <w:lang w:eastAsia="it-IT" w:bidi="ar-SA"/>
              </w:rPr>
            </w:pPr>
            <w:r w:rsidRPr="001965DA">
              <w:rPr>
                <w:rFonts w:cs="Times New Roman"/>
                <w:szCs w:val="22"/>
                <w:lang w:eastAsia="it-IT" w:bidi="ar-SA"/>
              </w:rPr>
              <w:t> </w:t>
            </w:r>
          </w:p>
        </w:tc>
        <w:tc>
          <w:tcPr>
            <w:tcW w:w="1250"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center"/>
              <w:rPr>
                <w:rFonts w:cs="Times New Roman"/>
                <w:b/>
                <w:bCs/>
                <w:color w:val="000000"/>
                <w:szCs w:val="22"/>
                <w:lang w:eastAsia="it-IT" w:bidi="ar-SA"/>
              </w:rPr>
            </w:pPr>
            <w:r w:rsidRPr="001965DA">
              <w:rPr>
                <w:rFonts w:cs="Times New Roman"/>
                <w:b/>
                <w:bCs/>
                <w:color w:val="000000"/>
                <w:szCs w:val="22"/>
                <w:lang w:eastAsia="it-IT" w:bidi="ar-SA"/>
              </w:rPr>
              <w:t>Consuntivo 2015</w:t>
            </w:r>
          </w:p>
        </w:tc>
        <w:tc>
          <w:tcPr>
            <w:tcW w:w="1250"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center"/>
              <w:rPr>
                <w:rFonts w:cs="Times New Roman"/>
                <w:b/>
                <w:bCs/>
                <w:color w:val="000000"/>
                <w:szCs w:val="22"/>
                <w:lang w:eastAsia="it-IT" w:bidi="ar-SA"/>
              </w:rPr>
            </w:pPr>
            <w:r w:rsidRPr="001965DA">
              <w:rPr>
                <w:rFonts w:cs="Times New Roman"/>
                <w:b/>
                <w:bCs/>
                <w:color w:val="000000"/>
                <w:szCs w:val="22"/>
                <w:lang w:eastAsia="it-IT" w:bidi="ar-SA"/>
              </w:rPr>
              <w:t>Consuntivo 2016</w:t>
            </w:r>
          </w:p>
        </w:tc>
        <w:tc>
          <w:tcPr>
            <w:tcW w:w="1250"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center"/>
              <w:rPr>
                <w:rFonts w:cs="Times New Roman"/>
                <w:b/>
                <w:bCs/>
                <w:color w:val="000000"/>
                <w:szCs w:val="22"/>
                <w:lang w:eastAsia="it-IT" w:bidi="ar-SA"/>
              </w:rPr>
            </w:pPr>
            <w:r w:rsidRPr="001965DA">
              <w:rPr>
                <w:rFonts w:cs="Times New Roman"/>
                <w:b/>
                <w:bCs/>
                <w:color w:val="000000"/>
                <w:szCs w:val="22"/>
                <w:lang w:eastAsia="it-IT" w:bidi="ar-SA"/>
              </w:rPr>
              <w:t>Consuntivo 2017</w:t>
            </w:r>
          </w:p>
        </w:tc>
      </w:tr>
      <w:tr w:rsidR="00BD31B2" w:rsidRPr="001965DA" w:rsidTr="00BD31B2">
        <w:trPr>
          <w:trHeight w:val="300"/>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BD31B2" w:rsidRPr="001965DA" w:rsidRDefault="00BD31B2" w:rsidP="00BD31B2">
            <w:pPr>
              <w:suppressAutoHyphens w:val="0"/>
              <w:spacing w:before="0" w:after="0" w:line="240" w:lineRule="auto"/>
              <w:rPr>
                <w:rFonts w:cs="Times New Roman"/>
                <w:szCs w:val="22"/>
                <w:lang w:eastAsia="it-IT" w:bidi="ar-SA"/>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BD31B2" w:rsidRPr="001965DA" w:rsidRDefault="00BD31B2" w:rsidP="00BD31B2">
            <w:pPr>
              <w:suppressAutoHyphens w:val="0"/>
              <w:spacing w:before="0" w:after="0" w:line="240" w:lineRule="auto"/>
              <w:rPr>
                <w:rFonts w:cs="Times New Roman"/>
                <w:b/>
                <w:bCs/>
                <w:color w:val="000000"/>
                <w:szCs w:val="22"/>
                <w:lang w:eastAsia="it-IT" w:bidi="ar-SA"/>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BD31B2" w:rsidRPr="001965DA" w:rsidRDefault="00BD31B2" w:rsidP="00BD31B2">
            <w:pPr>
              <w:suppressAutoHyphens w:val="0"/>
              <w:spacing w:before="0" w:after="0" w:line="240" w:lineRule="auto"/>
              <w:rPr>
                <w:rFonts w:cs="Times New Roman"/>
                <w:b/>
                <w:bCs/>
                <w:color w:val="000000"/>
                <w:szCs w:val="22"/>
                <w:lang w:eastAsia="it-IT" w:bidi="ar-SA"/>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BD31B2" w:rsidRPr="001965DA" w:rsidRDefault="00BD31B2" w:rsidP="00BD31B2">
            <w:pPr>
              <w:suppressAutoHyphens w:val="0"/>
              <w:spacing w:before="0" w:after="0" w:line="240" w:lineRule="auto"/>
              <w:rPr>
                <w:rFonts w:cs="Times New Roman"/>
                <w:b/>
                <w:bCs/>
                <w:color w:val="000000"/>
                <w:szCs w:val="22"/>
                <w:lang w:eastAsia="it-IT" w:bidi="ar-SA"/>
              </w:rPr>
            </w:pPr>
          </w:p>
        </w:tc>
      </w:tr>
      <w:tr w:rsidR="00BD31B2" w:rsidRPr="001965DA" w:rsidTr="00BD31B2">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BD31B2" w:rsidRPr="001965DA" w:rsidRDefault="00BD31B2" w:rsidP="00BD31B2">
            <w:pPr>
              <w:suppressAutoHyphens w:val="0"/>
              <w:spacing w:before="0" w:after="0" w:line="240" w:lineRule="auto"/>
              <w:rPr>
                <w:rFonts w:cs="Times New Roman"/>
                <w:color w:val="000000"/>
                <w:szCs w:val="22"/>
                <w:lang w:eastAsia="it-IT" w:bidi="ar-SA"/>
              </w:rPr>
            </w:pPr>
            <w:r w:rsidRPr="001965DA">
              <w:rPr>
                <w:rFonts w:cs="Times New Roman"/>
                <w:color w:val="000000"/>
                <w:szCs w:val="22"/>
                <w:lang w:eastAsia="it-IT" w:bidi="ar-SA"/>
              </w:rPr>
              <w:t>VALORE DELLA PRODUZIONE</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1.307.057.963</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1.298.160.657</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1.371.016.464</w:t>
            </w:r>
          </w:p>
        </w:tc>
      </w:tr>
      <w:tr w:rsidR="00BD31B2" w:rsidRPr="001965DA" w:rsidTr="00BD31B2">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BD31B2" w:rsidRPr="001965DA" w:rsidRDefault="00BD31B2" w:rsidP="00BD31B2">
            <w:pPr>
              <w:suppressAutoHyphens w:val="0"/>
              <w:spacing w:before="0" w:after="0" w:line="240" w:lineRule="auto"/>
              <w:rPr>
                <w:rFonts w:cs="Times New Roman"/>
                <w:color w:val="000000"/>
                <w:szCs w:val="22"/>
                <w:lang w:eastAsia="it-IT" w:bidi="ar-SA"/>
              </w:rPr>
            </w:pPr>
            <w:r w:rsidRPr="001965DA">
              <w:rPr>
                <w:rFonts w:cs="Times New Roman"/>
                <w:color w:val="000000"/>
                <w:szCs w:val="22"/>
                <w:lang w:eastAsia="it-IT" w:bidi="ar-SA"/>
              </w:rPr>
              <w:t>COSTI DELLA PRODUZIONE</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-1.285.608.995</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-1.275.591.280</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-1.350.903.039</w:t>
            </w:r>
          </w:p>
        </w:tc>
      </w:tr>
      <w:tr w:rsidR="00BD31B2" w:rsidRPr="001965DA" w:rsidTr="00BD31B2">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BD31B2" w:rsidRPr="001965DA" w:rsidRDefault="00BD31B2" w:rsidP="00BD31B2">
            <w:pPr>
              <w:suppressAutoHyphens w:val="0"/>
              <w:spacing w:before="0" w:after="0" w:line="240" w:lineRule="auto"/>
              <w:rPr>
                <w:rFonts w:cs="Times New Roman"/>
                <w:color w:val="000000"/>
                <w:szCs w:val="22"/>
                <w:lang w:eastAsia="it-IT" w:bidi="ar-SA"/>
              </w:rPr>
            </w:pPr>
            <w:r w:rsidRPr="001965DA">
              <w:rPr>
                <w:rFonts w:cs="Times New Roman"/>
                <w:color w:val="000000"/>
                <w:szCs w:val="22"/>
                <w:lang w:eastAsia="it-IT" w:bidi="ar-SA"/>
              </w:rPr>
              <w:t>PROVENTI E ONERI FINANZIARI</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-2.302.979</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-2.675.687</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-1.658.966</w:t>
            </w:r>
          </w:p>
        </w:tc>
      </w:tr>
      <w:tr w:rsidR="00BD31B2" w:rsidRPr="001965DA" w:rsidTr="00BD31B2">
        <w:trPr>
          <w:trHeight w:val="6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BD31B2" w:rsidRPr="001965DA" w:rsidRDefault="00BD31B2" w:rsidP="00BD31B2">
            <w:pPr>
              <w:suppressAutoHyphens w:val="0"/>
              <w:spacing w:before="0" w:after="0" w:line="240" w:lineRule="auto"/>
              <w:rPr>
                <w:rFonts w:cs="Times New Roman"/>
                <w:color w:val="000000"/>
                <w:szCs w:val="22"/>
                <w:lang w:eastAsia="it-IT" w:bidi="ar-SA"/>
              </w:rPr>
            </w:pPr>
            <w:r w:rsidRPr="001965DA">
              <w:rPr>
                <w:rFonts w:cs="Times New Roman"/>
                <w:color w:val="000000"/>
                <w:szCs w:val="22"/>
                <w:lang w:eastAsia="it-IT" w:bidi="ar-SA"/>
              </w:rPr>
              <w:t>PROVENTI E ONERI STRAORDINARI</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1.614.352</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266.196</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2.592.993</w:t>
            </w:r>
          </w:p>
        </w:tc>
      </w:tr>
      <w:tr w:rsidR="00BD31B2" w:rsidRPr="001965DA" w:rsidTr="00BD31B2">
        <w:trPr>
          <w:trHeight w:val="9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BD31B2" w:rsidRPr="001965DA" w:rsidRDefault="00BD31B2" w:rsidP="00BD31B2">
            <w:pPr>
              <w:suppressAutoHyphens w:val="0"/>
              <w:spacing w:before="0" w:after="0" w:line="240" w:lineRule="auto"/>
              <w:rPr>
                <w:rFonts w:cs="Times New Roman"/>
                <w:color w:val="000000"/>
                <w:szCs w:val="22"/>
                <w:lang w:eastAsia="it-IT" w:bidi="ar-SA"/>
              </w:rPr>
            </w:pPr>
            <w:r w:rsidRPr="001965DA">
              <w:rPr>
                <w:rFonts w:cs="Times New Roman"/>
                <w:color w:val="000000"/>
                <w:szCs w:val="22"/>
                <w:lang w:eastAsia="it-IT" w:bidi="ar-SA"/>
              </w:rPr>
              <w:lastRenderedPageBreak/>
              <w:t>IMPOSTE SUL REDDITO DELL'ESERCIZIO</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-20.744.708</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-20.144.397</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color w:val="000000"/>
                <w:szCs w:val="22"/>
                <w:lang w:eastAsia="it-IT" w:bidi="ar-SA"/>
              </w:rPr>
            </w:pPr>
            <w:r w:rsidRPr="001965DA">
              <w:rPr>
                <w:rFonts w:cs="Times New Roman"/>
                <w:color w:val="000000"/>
                <w:szCs w:val="22"/>
                <w:lang w:eastAsia="it-IT" w:bidi="ar-SA"/>
              </w:rPr>
              <w:t>-21.030.400</w:t>
            </w:r>
          </w:p>
        </w:tc>
      </w:tr>
      <w:tr w:rsidR="00BD31B2" w:rsidRPr="001965DA" w:rsidTr="00BD31B2">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rsidR="00BD31B2" w:rsidRPr="001965DA" w:rsidRDefault="00BD31B2" w:rsidP="00BD31B2">
            <w:pPr>
              <w:suppressAutoHyphens w:val="0"/>
              <w:spacing w:before="0" w:after="0" w:line="240" w:lineRule="auto"/>
              <w:rPr>
                <w:rFonts w:cs="Times New Roman"/>
                <w:b/>
                <w:bCs/>
                <w:color w:val="000000"/>
                <w:szCs w:val="22"/>
                <w:lang w:eastAsia="it-IT" w:bidi="ar-SA"/>
              </w:rPr>
            </w:pPr>
            <w:r w:rsidRPr="001965DA">
              <w:rPr>
                <w:rFonts w:cs="Times New Roman"/>
                <w:b/>
                <w:bCs/>
                <w:color w:val="000000"/>
                <w:szCs w:val="22"/>
                <w:lang w:eastAsia="it-IT" w:bidi="ar-SA"/>
              </w:rPr>
              <w:t>RISULTATO</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b/>
                <w:bCs/>
                <w:color w:val="000000"/>
                <w:szCs w:val="22"/>
                <w:lang w:eastAsia="it-IT" w:bidi="ar-SA"/>
              </w:rPr>
            </w:pPr>
            <w:r w:rsidRPr="001965DA">
              <w:rPr>
                <w:rFonts w:cs="Times New Roman"/>
                <w:b/>
                <w:bCs/>
                <w:color w:val="000000"/>
                <w:szCs w:val="22"/>
                <w:lang w:eastAsia="it-IT" w:bidi="ar-SA"/>
              </w:rPr>
              <w:t>15.633</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b/>
                <w:bCs/>
                <w:color w:val="000000"/>
                <w:szCs w:val="22"/>
                <w:lang w:eastAsia="it-IT" w:bidi="ar-SA"/>
              </w:rPr>
            </w:pPr>
            <w:r w:rsidRPr="001965DA">
              <w:rPr>
                <w:rFonts w:cs="Times New Roman"/>
                <w:b/>
                <w:bCs/>
                <w:color w:val="000000"/>
                <w:szCs w:val="22"/>
                <w:lang w:eastAsia="it-IT" w:bidi="ar-SA"/>
              </w:rPr>
              <w:t>15.489</w:t>
            </w:r>
          </w:p>
        </w:tc>
        <w:tc>
          <w:tcPr>
            <w:tcW w:w="1250" w:type="pct"/>
            <w:tcBorders>
              <w:top w:val="nil"/>
              <w:left w:val="nil"/>
              <w:bottom w:val="single" w:sz="4" w:space="0" w:color="auto"/>
              <w:right w:val="single" w:sz="4" w:space="0" w:color="auto"/>
            </w:tcBorders>
            <w:shd w:val="clear" w:color="000000" w:fill="FFF2CC"/>
            <w:vAlign w:val="center"/>
            <w:hideMark/>
          </w:tcPr>
          <w:p w:rsidR="00BD31B2" w:rsidRPr="001965DA" w:rsidRDefault="00BD31B2" w:rsidP="00BD31B2">
            <w:pPr>
              <w:suppressAutoHyphens w:val="0"/>
              <w:spacing w:before="0" w:after="0" w:line="240" w:lineRule="auto"/>
              <w:jc w:val="right"/>
              <w:rPr>
                <w:rFonts w:cs="Times New Roman"/>
                <w:b/>
                <w:bCs/>
                <w:color w:val="000000"/>
                <w:szCs w:val="22"/>
                <w:lang w:eastAsia="it-IT" w:bidi="ar-SA"/>
              </w:rPr>
            </w:pPr>
            <w:r w:rsidRPr="001965DA">
              <w:rPr>
                <w:rFonts w:cs="Times New Roman"/>
                <w:b/>
                <w:bCs/>
                <w:color w:val="000000"/>
                <w:szCs w:val="22"/>
                <w:lang w:eastAsia="it-IT" w:bidi="ar-SA"/>
              </w:rPr>
              <w:t>16.253</w:t>
            </w:r>
          </w:p>
        </w:tc>
      </w:tr>
    </w:tbl>
    <w:p w:rsidR="00E27519" w:rsidRPr="001965DA" w:rsidRDefault="00CA006B">
      <w:pPr>
        <w:ind w:right="284"/>
        <w:jc w:val="both"/>
        <w:rPr>
          <w:rFonts w:eastAsia="Calibri"/>
          <w:sz w:val="16"/>
          <w:lang w:eastAsia="en-US"/>
        </w:rPr>
      </w:pPr>
      <w:r w:rsidRPr="001965DA">
        <w:rPr>
          <w:rFonts w:eastAsia="Calibri"/>
          <w:sz w:val="16"/>
          <w:lang w:eastAsia="en-US"/>
        </w:rPr>
        <w:t>Fonte: AUSL MO, Elaborazione su dati consuntivi Bilancio 2016 (Delibera 116/2017)</w:t>
      </w:r>
    </w:p>
    <w:p w:rsidR="00BD31B2" w:rsidRPr="001965DA" w:rsidRDefault="00BD31B2">
      <w:pPr>
        <w:ind w:right="284"/>
        <w:jc w:val="both"/>
        <w:rPr>
          <w:rFonts w:eastAsia="Calibri"/>
          <w:sz w:val="16"/>
          <w:lang w:eastAsia="en-US"/>
        </w:rPr>
      </w:pPr>
    </w:p>
    <w:p w:rsidR="00AC7DF2" w:rsidRPr="001965DA" w:rsidRDefault="0003178C">
      <w:pPr>
        <w:pStyle w:val="Titolo3Verdana"/>
        <w:rPr>
          <w:rFonts w:asciiTheme="minorHAnsi" w:eastAsia="Calibri" w:hAnsiTheme="minorHAnsi"/>
          <w:lang w:val="it-IT"/>
        </w:rPr>
      </w:pPr>
      <w:bookmarkStart w:id="44" w:name="_Toc518040077"/>
      <w:r w:rsidRPr="001965DA">
        <w:rPr>
          <w:rFonts w:asciiTheme="minorHAnsi" w:eastAsia="Calibri" w:hAnsiTheme="minorHAnsi"/>
          <w:lang w:val="it-IT"/>
        </w:rPr>
        <w:t>7</w:t>
      </w:r>
      <w:r w:rsidRPr="001965DA">
        <w:rPr>
          <w:rFonts w:asciiTheme="minorHAnsi" w:eastAsia="Calibri" w:hAnsiTheme="minorHAnsi"/>
        </w:rPr>
        <w:t xml:space="preserve">.2 </w:t>
      </w:r>
      <w:r w:rsidRPr="001965DA">
        <w:rPr>
          <w:rFonts w:asciiTheme="minorHAnsi" w:eastAsia="Calibri" w:hAnsiTheme="minorHAnsi"/>
          <w:lang w:val="it-IT"/>
        </w:rPr>
        <w:t>Costi pro-capite</w:t>
      </w:r>
      <w:bookmarkEnd w:id="44"/>
      <w:r w:rsidRPr="001965DA">
        <w:rPr>
          <w:rFonts w:asciiTheme="minorHAnsi" w:eastAsia="Calibri" w:hAnsiTheme="minorHAnsi"/>
          <w:lang w:val="it-IT"/>
        </w:rPr>
        <w:t xml:space="preserve"> </w:t>
      </w:r>
    </w:p>
    <w:p w:rsidR="00AC7DF2" w:rsidRPr="001965DA" w:rsidRDefault="00AC7DF2" w:rsidP="00AC7DF2">
      <w:pPr>
        <w:jc w:val="both"/>
        <w:rPr>
          <w:sz w:val="20"/>
        </w:rPr>
      </w:pPr>
      <w:r w:rsidRPr="001965DA">
        <w:rPr>
          <w:sz w:val="20"/>
        </w:rPr>
        <w:t>Il calcolo dei costi pro capite è stato effettuato sulla seguente popolazione pesata:</w:t>
      </w:r>
    </w:p>
    <w:p w:rsidR="00AC7DF2" w:rsidRPr="001965DA" w:rsidRDefault="00AC7DF2" w:rsidP="00AC7DF2">
      <w:pPr>
        <w:jc w:val="center"/>
        <w:rPr>
          <w:sz w:val="20"/>
        </w:rPr>
      </w:pPr>
      <w:r w:rsidRPr="001965DA">
        <w:rPr>
          <w:rFonts w:ascii="Verdana" w:hAnsi="Verdana" w:cs="Times New Roman"/>
          <w:noProof/>
          <w:color w:val="000000"/>
          <w:lang w:eastAsia="it-IT" w:bidi="ar-SA"/>
        </w:rPr>
        <w:drawing>
          <wp:inline distT="0" distB="0" distL="0" distR="0" wp14:anchorId="257E461E" wp14:editId="39878CCC">
            <wp:extent cx="3077210" cy="1494790"/>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7210" cy="1494790"/>
                    </a:xfrm>
                    <a:prstGeom prst="rect">
                      <a:avLst/>
                    </a:prstGeom>
                    <a:noFill/>
                    <a:ln>
                      <a:noFill/>
                    </a:ln>
                  </pic:spPr>
                </pic:pic>
              </a:graphicData>
            </a:graphic>
          </wp:inline>
        </w:drawing>
      </w:r>
    </w:p>
    <w:p w:rsidR="00AC7DF2" w:rsidRPr="001965DA" w:rsidRDefault="00AC7DF2" w:rsidP="00AC7DF2">
      <w:pPr>
        <w:jc w:val="center"/>
        <w:rPr>
          <w:sz w:val="20"/>
        </w:rPr>
      </w:pPr>
    </w:p>
    <w:p w:rsidR="00BD31B2" w:rsidRPr="001965DA" w:rsidRDefault="00BD31B2" w:rsidP="00BD31B2">
      <w:pPr>
        <w:jc w:val="center"/>
        <w:rPr>
          <w:rFonts w:eastAsia="Arial Unicode MS"/>
          <w:sz w:val="20"/>
        </w:rPr>
      </w:pPr>
      <w:r w:rsidRPr="001965DA">
        <w:rPr>
          <w:rFonts w:eastAsia="Arial Unicode MS"/>
          <w:noProof/>
          <w:sz w:val="20"/>
          <w:lang w:eastAsia="it-IT" w:bidi="ar-SA"/>
        </w:rPr>
        <w:drawing>
          <wp:inline distT="0" distB="0" distL="0" distR="0" wp14:anchorId="466EA15E" wp14:editId="06922551">
            <wp:extent cx="4572000" cy="2933700"/>
            <wp:effectExtent l="0" t="0" r="0" b="0"/>
            <wp:docPr id="51" name="Gra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27519" w:rsidRPr="001965DA" w:rsidRDefault="0003178C">
      <w:pPr>
        <w:ind w:right="284"/>
        <w:jc w:val="both"/>
        <w:rPr>
          <w:rFonts w:eastAsia="Calibri"/>
          <w:sz w:val="16"/>
          <w:lang w:eastAsia="en-US"/>
        </w:rPr>
      </w:pPr>
      <w:r w:rsidRPr="001965DA">
        <w:rPr>
          <w:rFonts w:eastAsia="Calibri"/>
          <w:sz w:val="16"/>
          <w:lang w:eastAsia="en-US"/>
        </w:rPr>
        <w:t>Fonte: Direzione Generale Cura della Persona, Salute e Welfare – Regione Emilia-Romagna</w:t>
      </w:r>
    </w:p>
    <w:p w:rsidR="002956A2" w:rsidRPr="001965DA" w:rsidRDefault="002956A2" w:rsidP="002956A2">
      <w:pPr>
        <w:jc w:val="both"/>
        <w:rPr>
          <w:sz w:val="20"/>
        </w:rPr>
      </w:pPr>
      <w:r w:rsidRPr="001965DA">
        <w:rPr>
          <w:sz w:val="20"/>
        </w:rPr>
        <w:t xml:space="preserve">L’analisi dei costi pro capite mostra un contenimento dei costi pro capite per l’Azienda USL di Modena a fronte di un aumento di quelli di integrazione dell’Azienda Ospedaliero-Universitaria. La Mission dell’Azienda territoriale che si esprime nell’obiettivo di realizzare livelli di assistenza territoriale e di prossimità, richiede un’azione di committenza che inverta la tendenza di crescita dei costi pro capite ospedalieri in favore dei servizi territoriali. </w:t>
      </w:r>
    </w:p>
    <w:p w:rsidR="002956A2" w:rsidRPr="001965DA" w:rsidRDefault="002956A2" w:rsidP="002956A2">
      <w:pPr>
        <w:spacing w:after="120"/>
        <w:contextualSpacing/>
        <w:rPr>
          <w:rFonts w:eastAsia="Calibri"/>
          <w:sz w:val="20"/>
          <w:lang w:eastAsia="en-US"/>
        </w:rPr>
      </w:pPr>
    </w:p>
    <w:p w:rsidR="00BD31B2" w:rsidRPr="001965DA" w:rsidRDefault="00BD31B2" w:rsidP="002956A2">
      <w:pPr>
        <w:spacing w:after="120"/>
        <w:contextualSpacing/>
        <w:jc w:val="center"/>
        <w:rPr>
          <w:rFonts w:eastAsia="Calibri"/>
          <w:sz w:val="20"/>
          <w:lang w:eastAsia="en-US"/>
        </w:rPr>
      </w:pPr>
      <w:r w:rsidRPr="001965DA">
        <w:rPr>
          <w:rFonts w:eastAsia="Calibri"/>
          <w:noProof/>
          <w:sz w:val="20"/>
          <w:lang w:eastAsia="it-IT" w:bidi="ar-SA"/>
        </w:rPr>
        <w:lastRenderedPageBreak/>
        <w:drawing>
          <wp:inline distT="0" distB="0" distL="0" distR="0" wp14:anchorId="75F5715F" wp14:editId="640B51CE">
            <wp:extent cx="4572000" cy="2743200"/>
            <wp:effectExtent l="0" t="0" r="0" b="0"/>
            <wp:docPr id="52" name="Gra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D31B2" w:rsidRPr="001965DA" w:rsidRDefault="00BD31B2" w:rsidP="00BD31B2">
      <w:pPr>
        <w:ind w:right="284"/>
        <w:jc w:val="both"/>
        <w:rPr>
          <w:rFonts w:eastAsia="Calibri"/>
          <w:sz w:val="16"/>
          <w:lang w:eastAsia="en-US"/>
        </w:rPr>
      </w:pPr>
    </w:p>
    <w:p w:rsidR="00BD31B2" w:rsidRPr="001965DA" w:rsidRDefault="00BD31B2" w:rsidP="00BD31B2">
      <w:pPr>
        <w:ind w:right="284"/>
        <w:jc w:val="both"/>
        <w:rPr>
          <w:rFonts w:eastAsia="Calibri"/>
          <w:sz w:val="16"/>
          <w:lang w:eastAsia="en-US"/>
        </w:rPr>
      </w:pPr>
      <w:r w:rsidRPr="001965DA">
        <w:rPr>
          <w:rFonts w:eastAsia="Calibri"/>
          <w:sz w:val="16"/>
          <w:lang w:eastAsia="en-US"/>
        </w:rPr>
        <w:t>Fonte: Direzione Generale Cura della Persona, Salute e Welfare – Regione Emilia-Romagna</w:t>
      </w:r>
    </w:p>
    <w:p w:rsidR="002956A2" w:rsidRPr="001965DA" w:rsidRDefault="002956A2" w:rsidP="002956A2">
      <w:pPr>
        <w:jc w:val="both"/>
        <w:rPr>
          <w:sz w:val="20"/>
        </w:rPr>
      </w:pPr>
      <w:r w:rsidRPr="001965DA">
        <w:rPr>
          <w:sz w:val="20"/>
        </w:rPr>
        <w:t xml:space="preserve">Come si evince dal grafico seguente, dove viene rappresentata l'analisi dei costi pro capite relativi al quadriennio 2013/2016 per l'Azienda USL di Modena, si può notare una riduzione complessiva nel 2016, nonostante l’aumento della quota di integrazione per l’Azienda Ospedaliera. Inoltre, il risultato complessivo è sotto la media dei valori delle Aziende Sanitarie della Regione Emilia-Romagna. </w:t>
      </w:r>
    </w:p>
    <w:p w:rsidR="00BD31B2" w:rsidRPr="001965DA" w:rsidRDefault="00BD31B2" w:rsidP="002956A2">
      <w:pPr>
        <w:jc w:val="both"/>
        <w:rPr>
          <w:rFonts w:eastAsia="Calibri"/>
          <w:sz w:val="16"/>
          <w:lang w:eastAsia="en-US"/>
        </w:rPr>
      </w:pPr>
    </w:p>
    <w:p w:rsidR="00BD31B2" w:rsidRPr="001965DA" w:rsidRDefault="00BD31B2">
      <w:pPr>
        <w:spacing w:after="120"/>
        <w:contextualSpacing/>
        <w:jc w:val="both"/>
        <w:rPr>
          <w:rFonts w:eastAsia="Calibri"/>
          <w:sz w:val="20"/>
          <w:lang w:eastAsia="en-US"/>
        </w:rPr>
      </w:pPr>
    </w:p>
    <w:p w:rsidR="00BD31B2" w:rsidRPr="001965DA" w:rsidRDefault="00BD31B2" w:rsidP="00BD31B2">
      <w:pPr>
        <w:spacing w:after="120"/>
        <w:contextualSpacing/>
        <w:jc w:val="center"/>
        <w:rPr>
          <w:rFonts w:eastAsia="Calibri"/>
          <w:sz w:val="20"/>
          <w:lang w:eastAsia="en-US"/>
        </w:rPr>
      </w:pPr>
      <w:r w:rsidRPr="001965DA">
        <w:rPr>
          <w:rFonts w:eastAsia="Calibri"/>
          <w:noProof/>
          <w:sz w:val="20"/>
          <w:lang w:eastAsia="it-IT" w:bidi="ar-SA"/>
        </w:rPr>
        <w:drawing>
          <wp:inline distT="0" distB="0" distL="0" distR="0" wp14:anchorId="42FE98D9" wp14:editId="2266F278">
            <wp:extent cx="5217893" cy="2767428"/>
            <wp:effectExtent l="0" t="0" r="0" b="0"/>
            <wp:docPr id="53" name="Gra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D31B2" w:rsidRPr="001965DA" w:rsidRDefault="00BD31B2" w:rsidP="00BD31B2">
      <w:pPr>
        <w:ind w:right="284"/>
        <w:jc w:val="both"/>
        <w:rPr>
          <w:rFonts w:eastAsia="Calibri"/>
          <w:sz w:val="16"/>
          <w:lang w:eastAsia="en-US"/>
        </w:rPr>
      </w:pPr>
      <w:r w:rsidRPr="001965DA">
        <w:rPr>
          <w:rFonts w:eastAsia="Calibri"/>
          <w:sz w:val="16"/>
          <w:lang w:eastAsia="en-US"/>
        </w:rPr>
        <w:t>Fonte: Direzione Generale Cura della Persona, Salute e Welfare – Regione Emilia-Romagna</w:t>
      </w:r>
    </w:p>
    <w:p w:rsidR="00BD31B2" w:rsidRPr="001965DA" w:rsidRDefault="00BD31B2" w:rsidP="00BD31B2">
      <w:pPr>
        <w:spacing w:after="120"/>
        <w:contextualSpacing/>
        <w:jc w:val="center"/>
        <w:rPr>
          <w:rFonts w:eastAsia="Calibri"/>
          <w:sz w:val="20"/>
          <w:lang w:eastAsia="en-US"/>
        </w:rPr>
      </w:pPr>
    </w:p>
    <w:p w:rsidR="00BD31B2" w:rsidRPr="001965DA" w:rsidRDefault="00BD31B2">
      <w:pPr>
        <w:spacing w:after="120"/>
        <w:contextualSpacing/>
        <w:jc w:val="both"/>
        <w:rPr>
          <w:rFonts w:eastAsia="Calibri"/>
          <w:sz w:val="20"/>
          <w:lang w:eastAsia="en-US"/>
        </w:rPr>
      </w:pPr>
    </w:p>
    <w:p w:rsidR="00E27519" w:rsidRPr="001965DA" w:rsidRDefault="00E27519">
      <w:pPr>
        <w:spacing w:after="120"/>
        <w:contextualSpacing/>
        <w:jc w:val="both"/>
        <w:rPr>
          <w:rFonts w:eastAsia="Calibri"/>
          <w:sz w:val="20"/>
          <w:lang w:eastAsia="en-US"/>
        </w:rPr>
      </w:pPr>
    </w:p>
    <w:p w:rsidR="00E27519" w:rsidRPr="001965DA" w:rsidRDefault="0003178C">
      <w:pPr>
        <w:pStyle w:val="Titolo3Verdana"/>
        <w:rPr>
          <w:rFonts w:asciiTheme="minorHAnsi" w:eastAsia="Calibri" w:hAnsiTheme="minorHAnsi"/>
          <w:lang w:val="it-IT"/>
        </w:rPr>
      </w:pPr>
      <w:bookmarkStart w:id="45" w:name="_Toc518040078"/>
      <w:r w:rsidRPr="001965DA">
        <w:rPr>
          <w:rFonts w:asciiTheme="minorHAnsi" w:eastAsia="Calibri" w:hAnsiTheme="minorHAnsi"/>
          <w:lang w:val="it-IT"/>
        </w:rPr>
        <w:lastRenderedPageBreak/>
        <w:t>7</w:t>
      </w:r>
      <w:r w:rsidRPr="001965DA">
        <w:rPr>
          <w:rFonts w:asciiTheme="minorHAnsi" w:eastAsia="Calibri" w:hAnsiTheme="minorHAnsi"/>
        </w:rPr>
        <w:t xml:space="preserve">.3 </w:t>
      </w:r>
      <w:r w:rsidRPr="001965DA">
        <w:rPr>
          <w:rFonts w:asciiTheme="minorHAnsi" w:eastAsia="Calibri" w:hAnsiTheme="minorHAnsi"/>
          <w:lang w:val="it-IT"/>
        </w:rPr>
        <w:t>Spesa del Personale</w:t>
      </w:r>
      <w:bookmarkEnd w:id="45"/>
      <w:r w:rsidRPr="001965DA">
        <w:rPr>
          <w:rFonts w:asciiTheme="minorHAnsi" w:eastAsia="Calibri" w:hAnsiTheme="minorHAnsi"/>
          <w:lang w:val="it-IT"/>
        </w:rPr>
        <w:t xml:space="preserve"> </w:t>
      </w:r>
    </w:p>
    <w:p w:rsidR="00E27519" w:rsidRPr="001965DA" w:rsidRDefault="00623BB9">
      <w:pPr>
        <w:spacing w:after="120"/>
        <w:contextualSpacing/>
        <w:jc w:val="center"/>
        <w:rPr>
          <w:rFonts w:eastAsia="Calibri"/>
          <w:sz w:val="20"/>
          <w:lang w:eastAsia="en-US"/>
        </w:rPr>
      </w:pPr>
      <w:r w:rsidRPr="001965DA">
        <w:rPr>
          <w:noProof/>
          <w:lang w:eastAsia="it-IT" w:bidi="ar-SA"/>
        </w:rPr>
        <w:drawing>
          <wp:inline distT="0" distB="0" distL="0" distR="0" wp14:anchorId="0AA65215" wp14:editId="12CF176F">
            <wp:extent cx="4572000" cy="2743200"/>
            <wp:effectExtent l="0" t="0" r="0" b="0"/>
            <wp:docPr id="58" name="Gra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23BB9" w:rsidRPr="001965DA" w:rsidRDefault="00623BB9">
      <w:pPr>
        <w:spacing w:after="120"/>
        <w:contextualSpacing/>
        <w:jc w:val="center"/>
        <w:rPr>
          <w:rFonts w:eastAsia="Calibri"/>
          <w:sz w:val="20"/>
          <w:lang w:eastAsia="en-US"/>
        </w:rPr>
      </w:pPr>
    </w:p>
    <w:p w:rsidR="00E27519" w:rsidRPr="001965DA" w:rsidRDefault="00E27519">
      <w:pPr>
        <w:spacing w:after="120"/>
        <w:contextualSpacing/>
        <w:jc w:val="both"/>
        <w:rPr>
          <w:rFonts w:eastAsia="Calibri"/>
          <w:sz w:val="20"/>
          <w:lang w:eastAsia="en-US"/>
        </w:rPr>
      </w:pPr>
    </w:p>
    <w:p w:rsidR="00623BB9" w:rsidRPr="001965DA" w:rsidRDefault="0003178C">
      <w:pPr>
        <w:spacing w:after="120"/>
        <w:contextualSpacing/>
        <w:jc w:val="both"/>
        <w:rPr>
          <w:rFonts w:eastAsia="Calibri"/>
          <w:sz w:val="20"/>
          <w:lang w:eastAsia="en-US"/>
        </w:rPr>
      </w:pPr>
      <w:r w:rsidRPr="001965DA">
        <w:rPr>
          <w:rFonts w:eastAsia="Calibri"/>
          <w:sz w:val="20"/>
          <w:lang w:eastAsia="en-US"/>
        </w:rPr>
        <w:t>L’Azienda U</w:t>
      </w:r>
      <w:r w:rsidR="00623BB9" w:rsidRPr="001965DA">
        <w:rPr>
          <w:rFonts w:eastAsia="Calibri"/>
          <w:sz w:val="20"/>
          <w:lang w:eastAsia="en-US"/>
        </w:rPr>
        <w:t>SL di Modena, nel corso del 2017</w:t>
      </w:r>
      <w:r w:rsidRPr="001965DA">
        <w:rPr>
          <w:rFonts w:eastAsia="Calibri"/>
          <w:sz w:val="20"/>
          <w:lang w:eastAsia="en-US"/>
        </w:rPr>
        <w:t>, ha ulteriormente ridotto la spesa per il personale dipendente, rispetto agli anni precedenti, in linea con quanto richiesto dalle delibere di programmazione regionale.</w:t>
      </w:r>
      <w:r w:rsidR="00623BB9" w:rsidRPr="001965DA">
        <w:t xml:space="preserve"> </w:t>
      </w:r>
      <w:r w:rsidR="00623BB9" w:rsidRPr="001965DA">
        <w:rPr>
          <w:rFonts w:eastAsia="Calibri"/>
          <w:sz w:val="20"/>
          <w:lang w:eastAsia="en-US"/>
        </w:rPr>
        <w:t xml:space="preserve">Il costo del personale dipendente, nel modello al lordo dei rimborsi per il personale comandato presso l’Ospedale di Sassuolo e presso l’Ospedale Civile Sant’Agostino-Estense, segna un decremento di circa 1,5 milioni rispetto alle previsioni iniziali, per effetto del rigido contenimento del turnover e di accorte politiche del personale che pure hanno rispettato gli accordi regione e sindacati, recepiti a livello locale. </w:t>
      </w:r>
    </w:p>
    <w:p w:rsidR="00623BB9" w:rsidRPr="001965DA" w:rsidRDefault="00623BB9">
      <w:pPr>
        <w:spacing w:after="120"/>
        <w:contextualSpacing/>
        <w:jc w:val="both"/>
        <w:rPr>
          <w:rFonts w:eastAsia="Calibri"/>
          <w:sz w:val="20"/>
          <w:lang w:eastAsia="en-US"/>
        </w:rPr>
      </w:pPr>
    </w:p>
    <w:p w:rsidR="00E27519" w:rsidRPr="001965DA" w:rsidRDefault="00623BB9">
      <w:pPr>
        <w:spacing w:after="120"/>
        <w:contextualSpacing/>
        <w:jc w:val="both"/>
        <w:rPr>
          <w:rFonts w:eastAsia="Calibri"/>
          <w:sz w:val="20"/>
          <w:lang w:eastAsia="en-US"/>
        </w:rPr>
      </w:pPr>
      <w:r w:rsidRPr="001965DA">
        <w:rPr>
          <w:rFonts w:eastAsia="Calibri"/>
          <w:sz w:val="20"/>
          <w:lang w:eastAsia="en-US"/>
        </w:rPr>
        <w:t>Nel grafico seguente è possibile distinguere la spesa per il personale totale, sia dipendente AUSL di Modena che in assegnazione temporanea presso OCSAE.</w:t>
      </w:r>
    </w:p>
    <w:p w:rsidR="00623BB9" w:rsidRPr="001965DA" w:rsidRDefault="00623BB9">
      <w:pPr>
        <w:spacing w:after="120"/>
        <w:contextualSpacing/>
        <w:jc w:val="both"/>
        <w:rPr>
          <w:rFonts w:eastAsia="Calibri"/>
          <w:sz w:val="20"/>
          <w:lang w:eastAsia="en-US"/>
        </w:rPr>
      </w:pPr>
    </w:p>
    <w:p w:rsidR="00623BB9" w:rsidRPr="001965DA" w:rsidRDefault="00623BB9" w:rsidP="00623BB9">
      <w:pPr>
        <w:spacing w:after="120"/>
        <w:contextualSpacing/>
        <w:jc w:val="center"/>
        <w:rPr>
          <w:rFonts w:eastAsia="Calibri"/>
          <w:sz w:val="20"/>
          <w:lang w:eastAsia="en-US"/>
        </w:rPr>
      </w:pPr>
      <w:r w:rsidRPr="001965DA">
        <w:rPr>
          <w:noProof/>
          <w:lang w:eastAsia="it-IT" w:bidi="ar-SA"/>
        </w:rPr>
        <w:drawing>
          <wp:inline distT="0" distB="0" distL="0" distR="0" wp14:anchorId="1BAE8116" wp14:editId="5C59F3C7">
            <wp:extent cx="4572000" cy="2743200"/>
            <wp:effectExtent l="0" t="0" r="0" b="0"/>
            <wp:docPr id="60" name="Gra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23BB9" w:rsidRPr="001965DA" w:rsidRDefault="00623BB9" w:rsidP="00623BB9">
      <w:pPr>
        <w:spacing w:after="120"/>
        <w:contextualSpacing/>
        <w:jc w:val="both"/>
        <w:rPr>
          <w:rFonts w:eastAsia="Calibri"/>
          <w:sz w:val="20"/>
          <w:lang w:eastAsia="en-US"/>
        </w:rPr>
      </w:pPr>
    </w:p>
    <w:p w:rsidR="00E27519" w:rsidRPr="001965DA" w:rsidRDefault="0003178C">
      <w:pPr>
        <w:pStyle w:val="Titolo3Verdana"/>
        <w:rPr>
          <w:rFonts w:asciiTheme="minorHAnsi" w:eastAsia="Calibri" w:hAnsiTheme="minorHAnsi"/>
          <w:lang w:val="it-IT"/>
        </w:rPr>
      </w:pPr>
      <w:bookmarkStart w:id="46" w:name="_Toc518040079"/>
      <w:r w:rsidRPr="001965DA">
        <w:rPr>
          <w:rFonts w:asciiTheme="minorHAnsi" w:eastAsia="Calibri" w:hAnsiTheme="minorHAnsi"/>
          <w:lang w:val="it-IT"/>
        </w:rPr>
        <w:lastRenderedPageBreak/>
        <w:t>7</w:t>
      </w:r>
      <w:r w:rsidRPr="001965DA">
        <w:rPr>
          <w:rFonts w:asciiTheme="minorHAnsi" w:eastAsia="Calibri" w:hAnsiTheme="minorHAnsi"/>
        </w:rPr>
        <w:t xml:space="preserve">.4 </w:t>
      </w:r>
      <w:r w:rsidRPr="001965DA">
        <w:rPr>
          <w:rFonts w:asciiTheme="minorHAnsi" w:eastAsia="Calibri" w:hAnsiTheme="minorHAnsi"/>
          <w:lang w:val="it-IT"/>
        </w:rPr>
        <w:t>Spesa Farmaceutica</w:t>
      </w:r>
      <w:bookmarkEnd w:id="46"/>
      <w:r w:rsidRPr="001965DA">
        <w:rPr>
          <w:rFonts w:asciiTheme="minorHAnsi" w:eastAsia="Calibri" w:hAnsiTheme="minorHAnsi"/>
          <w:lang w:val="it-IT"/>
        </w:rPr>
        <w:t xml:space="preserve"> </w:t>
      </w:r>
    </w:p>
    <w:p w:rsidR="00E27519" w:rsidRPr="001965DA" w:rsidRDefault="00B0525C">
      <w:pPr>
        <w:spacing w:after="120"/>
        <w:contextualSpacing/>
        <w:jc w:val="center"/>
        <w:rPr>
          <w:rFonts w:eastAsia="Calibri"/>
          <w:sz w:val="20"/>
          <w:lang w:eastAsia="en-US"/>
        </w:rPr>
      </w:pPr>
      <w:r w:rsidRPr="001965DA">
        <w:rPr>
          <w:noProof/>
          <w:lang w:eastAsia="it-IT" w:bidi="ar-SA"/>
        </w:rPr>
        <w:drawing>
          <wp:inline distT="0" distB="0" distL="0" distR="0" wp14:anchorId="496BA3CE" wp14:editId="04875BC1">
            <wp:extent cx="4572000" cy="3124200"/>
            <wp:effectExtent l="0" t="0" r="0" b="0"/>
            <wp:docPr id="61" name="Gra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0525C" w:rsidRPr="001965DA" w:rsidRDefault="00B0525C">
      <w:pPr>
        <w:spacing w:after="120"/>
        <w:contextualSpacing/>
        <w:jc w:val="center"/>
        <w:rPr>
          <w:rFonts w:eastAsia="Calibri"/>
          <w:sz w:val="20"/>
          <w:lang w:eastAsia="en-US"/>
        </w:rPr>
      </w:pPr>
    </w:p>
    <w:p w:rsidR="00E27519" w:rsidRPr="001965DA" w:rsidRDefault="0003178C">
      <w:pPr>
        <w:spacing w:after="120"/>
        <w:contextualSpacing/>
        <w:jc w:val="both"/>
        <w:rPr>
          <w:rFonts w:eastAsia="Calibri"/>
          <w:sz w:val="20"/>
          <w:lang w:eastAsia="en-US"/>
        </w:rPr>
      </w:pPr>
      <w:r w:rsidRPr="001965DA">
        <w:rPr>
          <w:rFonts w:eastAsia="Calibri"/>
          <w:sz w:val="20"/>
          <w:lang w:eastAsia="en-US"/>
        </w:rPr>
        <w:t>La sp</w:t>
      </w:r>
      <w:r w:rsidR="005E7527" w:rsidRPr="001965DA">
        <w:rPr>
          <w:rFonts w:eastAsia="Calibri"/>
          <w:sz w:val="20"/>
          <w:lang w:eastAsia="en-US"/>
        </w:rPr>
        <w:t>esa Farmaceutica totale del 2017</w:t>
      </w:r>
      <w:r w:rsidRPr="001965DA">
        <w:rPr>
          <w:rFonts w:eastAsia="Calibri"/>
          <w:sz w:val="20"/>
          <w:lang w:eastAsia="en-US"/>
        </w:rPr>
        <w:t xml:space="preserve">, sostenuta dall’Azienda USL di Modena, è stata pari a </w:t>
      </w:r>
      <w:r w:rsidR="005E7527" w:rsidRPr="001965DA">
        <w:rPr>
          <w:rFonts w:eastAsia="Calibri"/>
          <w:sz w:val="20"/>
          <w:lang w:eastAsia="en-US"/>
        </w:rPr>
        <w:t xml:space="preserve">114.896.117 </w:t>
      </w:r>
      <w:r w:rsidRPr="001965DA">
        <w:rPr>
          <w:rFonts w:eastAsia="Calibri"/>
          <w:sz w:val="20"/>
          <w:lang w:eastAsia="en-US"/>
        </w:rPr>
        <w:t xml:space="preserve">€, composta dai farmaci ospedalieri, dalla distribuzione diretta e dal DCP pari a </w:t>
      </w:r>
      <w:r w:rsidR="005E7527" w:rsidRPr="001965DA">
        <w:rPr>
          <w:rFonts w:eastAsia="Calibri"/>
          <w:sz w:val="20"/>
          <w:lang w:eastAsia="en-US"/>
        </w:rPr>
        <w:t xml:space="preserve">93.235.380 €, dai farmaci </w:t>
      </w:r>
      <w:r w:rsidRPr="001965DA">
        <w:rPr>
          <w:rFonts w:eastAsia="Calibri"/>
          <w:sz w:val="20"/>
          <w:lang w:eastAsia="en-US"/>
        </w:rPr>
        <w:t>HCV</w:t>
      </w:r>
      <w:r w:rsidR="005E7527" w:rsidRPr="001965DA">
        <w:rPr>
          <w:rFonts w:eastAsia="Calibri"/>
          <w:sz w:val="20"/>
          <w:lang w:eastAsia="en-US"/>
        </w:rPr>
        <w:t xml:space="preserve"> pari a 10.386.000 €, dagli </w:t>
      </w:r>
      <w:r w:rsidRPr="001965DA">
        <w:rPr>
          <w:rFonts w:eastAsia="Calibri"/>
          <w:sz w:val="20"/>
          <w:lang w:eastAsia="en-US"/>
        </w:rPr>
        <w:t>Innovativi</w:t>
      </w:r>
      <w:r w:rsidR="005E7527" w:rsidRPr="001965DA">
        <w:rPr>
          <w:rFonts w:eastAsia="Calibri"/>
          <w:sz w:val="20"/>
          <w:lang w:eastAsia="en-US"/>
        </w:rPr>
        <w:t xml:space="preserve"> pari a 3.009.000 € e dai </w:t>
      </w:r>
      <w:r w:rsidRPr="001965DA">
        <w:rPr>
          <w:rFonts w:eastAsia="Calibri"/>
          <w:sz w:val="20"/>
          <w:lang w:eastAsia="en-US"/>
        </w:rPr>
        <w:t xml:space="preserve">Vaccini pari a </w:t>
      </w:r>
      <w:r w:rsidR="005E7527" w:rsidRPr="001965DA">
        <w:rPr>
          <w:rFonts w:eastAsia="Calibri"/>
          <w:sz w:val="20"/>
          <w:lang w:eastAsia="en-US"/>
        </w:rPr>
        <w:t>8.265.000</w:t>
      </w:r>
      <w:r w:rsidRPr="001965DA">
        <w:rPr>
          <w:rFonts w:eastAsia="Calibri"/>
          <w:sz w:val="20"/>
          <w:lang w:eastAsia="en-US"/>
        </w:rPr>
        <w:t xml:space="preserve"> €.</w:t>
      </w:r>
    </w:p>
    <w:p w:rsidR="005E7527" w:rsidRPr="001965DA" w:rsidRDefault="005E7527">
      <w:pPr>
        <w:spacing w:after="120"/>
        <w:contextualSpacing/>
        <w:jc w:val="both"/>
        <w:rPr>
          <w:rFonts w:eastAsia="Calibri"/>
          <w:sz w:val="20"/>
          <w:lang w:eastAsia="en-US"/>
        </w:rPr>
      </w:pPr>
    </w:p>
    <w:p w:rsidR="005E7527" w:rsidRPr="001965DA" w:rsidRDefault="005E7527" w:rsidP="005E7527">
      <w:pPr>
        <w:spacing w:after="120"/>
        <w:contextualSpacing/>
        <w:jc w:val="center"/>
        <w:rPr>
          <w:rFonts w:eastAsia="Calibri"/>
          <w:sz w:val="20"/>
          <w:lang w:eastAsia="en-US"/>
        </w:rPr>
      </w:pPr>
      <w:r w:rsidRPr="001965DA">
        <w:rPr>
          <w:noProof/>
          <w:lang w:eastAsia="it-IT" w:bidi="ar-SA"/>
        </w:rPr>
        <w:drawing>
          <wp:inline distT="0" distB="0" distL="0" distR="0" wp14:anchorId="6C33AB5E" wp14:editId="57D7BF5F">
            <wp:extent cx="4572000" cy="2743200"/>
            <wp:effectExtent l="0" t="0" r="0" b="0"/>
            <wp:docPr id="62" name="Gra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E7527" w:rsidRPr="001965DA" w:rsidRDefault="005E7527" w:rsidP="005E7527">
      <w:pPr>
        <w:spacing w:after="120"/>
        <w:contextualSpacing/>
        <w:jc w:val="center"/>
        <w:rPr>
          <w:rFonts w:eastAsia="Calibri"/>
          <w:sz w:val="20"/>
          <w:lang w:eastAsia="en-US"/>
        </w:rPr>
      </w:pPr>
    </w:p>
    <w:p w:rsidR="005E7527" w:rsidRPr="001965DA" w:rsidRDefault="005E7527" w:rsidP="005E7527">
      <w:pPr>
        <w:spacing w:after="120"/>
        <w:contextualSpacing/>
        <w:jc w:val="center"/>
        <w:rPr>
          <w:rFonts w:eastAsia="Calibri"/>
          <w:sz w:val="20"/>
          <w:lang w:eastAsia="en-US"/>
        </w:rPr>
      </w:pPr>
    </w:p>
    <w:p w:rsidR="00E27519" w:rsidRPr="001965DA" w:rsidRDefault="00E27519">
      <w:pPr>
        <w:spacing w:after="120"/>
        <w:contextualSpacing/>
        <w:jc w:val="center"/>
        <w:rPr>
          <w:rFonts w:eastAsia="Calibri"/>
          <w:noProof/>
          <w:sz w:val="20"/>
          <w:lang w:eastAsia="it-IT" w:bidi="ar-SA"/>
        </w:rPr>
      </w:pPr>
    </w:p>
    <w:p w:rsidR="007B0B79" w:rsidRPr="001965DA" w:rsidRDefault="007B0B79">
      <w:pPr>
        <w:spacing w:after="120"/>
        <w:contextualSpacing/>
        <w:jc w:val="center"/>
        <w:rPr>
          <w:rFonts w:eastAsia="Calibri"/>
          <w:noProof/>
          <w:sz w:val="20"/>
          <w:lang w:eastAsia="it-IT" w:bidi="ar-SA"/>
        </w:rPr>
      </w:pPr>
    </w:p>
    <w:p w:rsidR="007B0B79" w:rsidRPr="001965DA" w:rsidRDefault="007B0B79">
      <w:pPr>
        <w:spacing w:after="120"/>
        <w:contextualSpacing/>
        <w:jc w:val="center"/>
        <w:rPr>
          <w:rFonts w:eastAsia="Calibri"/>
          <w:noProof/>
          <w:sz w:val="20"/>
          <w:lang w:eastAsia="it-IT" w:bidi="ar-SA"/>
        </w:rPr>
      </w:pPr>
    </w:p>
    <w:p w:rsidR="007B0B79" w:rsidRPr="001965DA" w:rsidRDefault="007B0B79">
      <w:pPr>
        <w:spacing w:after="120"/>
        <w:contextualSpacing/>
        <w:jc w:val="center"/>
        <w:rPr>
          <w:rFonts w:eastAsia="Calibri"/>
          <w:noProof/>
          <w:sz w:val="20"/>
          <w:lang w:eastAsia="it-IT" w:bidi="ar-SA"/>
        </w:rPr>
      </w:pPr>
    </w:p>
    <w:p w:rsidR="007B0B79" w:rsidRPr="001965DA" w:rsidRDefault="007B0B79">
      <w:pPr>
        <w:spacing w:after="120"/>
        <w:contextualSpacing/>
        <w:jc w:val="center"/>
        <w:rPr>
          <w:rFonts w:eastAsia="Calibri"/>
          <w:noProof/>
          <w:sz w:val="20"/>
          <w:lang w:eastAsia="it-IT" w:bidi="ar-SA"/>
        </w:rPr>
      </w:pPr>
    </w:p>
    <w:p w:rsidR="007B0B79" w:rsidRPr="001965DA" w:rsidRDefault="007B0B79">
      <w:pPr>
        <w:spacing w:after="120"/>
        <w:contextualSpacing/>
        <w:jc w:val="center"/>
        <w:rPr>
          <w:rFonts w:eastAsia="Calibri"/>
          <w:noProof/>
          <w:sz w:val="20"/>
          <w:lang w:eastAsia="it-IT" w:bidi="ar-SA"/>
        </w:rPr>
      </w:pPr>
    </w:p>
    <w:p w:rsidR="007B0B79" w:rsidRPr="001965DA" w:rsidRDefault="007B0B79">
      <w:pPr>
        <w:spacing w:after="120"/>
        <w:contextualSpacing/>
        <w:jc w:val="center"/>
        <w:rPr>
          <w:rFonts w:eastAsia="Calibri"/>
          <w:sz w:val="20"/>
          <w:lang w:eastAsia="en-US"/>
        </w:rPr>
      </w:pPr>
      <w:r w:rsidRPr="001965DA">
        <w:rPr>
          <w:noProof/>
          <w:lang w:eastAsia="it-IT" w:bidi="ar-SA"/>
        </w:rPr>
        <w:lastRenderedPageBreak/>
        <w:drawing>
          <wp:inline distT="0" distB="0" distL="0" distR="0" wp14:anchorId="0D79CAE4" wp14:editId="499CDB29">
            <wp:extent cx="4572000" cy="2743200"/>
            <wp:effectExtent l="0" t="0" r="0" b="0"/>
            <wp:docPr id="63" name="Gra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B0B79" w:rsidRPr="001965DA" w:rsidRDefault="007B0B79">
      <w:pPr>
        <w:spacing w:after="120"/>
        <w:contextualSpacing/>
        <w:jc w:val="center"/>
        <w:rPr>
          <w:rFonts w:eastAsia="Calibri"/>
          <w:sz w:val="20"/>
          <w:lang w:eastAsia="en-US"/>
        </w:rPr>
      </w:pPr>
    </w:p>
    <w:p w:rsidR="00E27519" w:rsidRDefault="007B0B79">
      <w:pPr>
        <w:spacing w:after="120"/>
        <w:contextualSpacing/>
        <w:jc w:val="both"/>
        <w:rPr>
          <w:rFonts w:eastAsia="Calibri"/>
          <w:sz w:val="20"/>
          <w:lang w:eastAsia="en-US"/>
        </w:rPr>
      </w:pPr>
      <w:r w:rsidRPr="001965DA">
        <w:rPr>
          <w:rFonts w:eastAsia="Calibri"/>
          <w:sz w:val="20"/>
          <w:lang w:eastAsia="en-US"/>
        </w:rPr>
        <w:t>Continua il trend di riduzione della spesa per la</w:t>
      </w:r>
      <w:r w:rsidR="0003178C" w:rsidRPr="001965DA">
        <w:rPr>
          <w:rFonts w:eastAsia="Calibri"/>
          <w:sz w:val="20"/>
          <w:lang w:eastAsia="en-US"/>
        </w:rPr>
        <w:t xml:space="preserve"> Farmaceutica Convenzionata Esterna, nel 201</w:t>
      </w:r>
      <w:r w:rsidRPr="001965DA">
        <w:rPr>
          <w:rFonts w:eastAsia="Calibri"/>
          <w:sz w:val="20"/>
          <w:lang w:eastAsia="en-US"/>
        </w:rPr>
        <w:t>7</w:t>
      </w:r>
      <w:r w:rsidR="0003178C" w:rsidRPr="001965DA">
        <w:rPr>
          <w:rFonts w:eastAsia="Calibri"/>
          <w:sz w:val="20"/>
          <w:lang w:eastAsia="en-US"/>
        </w:rPr>
        <w:t xml:space="preserve"> è stata pari a </w:t>
      </w:r>
      <w:r w:rsidRPr="001965DA">
        <w:rPr>
          <w:rFonts w:eastAsia="Calibri"/>
          <w:sz w:val="20"/>
          <w:lang w:eastAsia="en-US"/>
        </w:rPr>
        <w:t>76.503.363 € (-2.8 % sul 2016</w:t>
      </w:r>
      <w:r w:rsidR="0003178C" w:rsidRPr="001965DA">
        <w:rPr>
          <w:rFonts w:eastAsia="Calibri"/>
          <w:sz w:val="20"/>
          <w:lang w:eastAsia="en-US"/>
        </w:rPr>
        <w:t>).</w:t>
      </w:r>
    </w:p>
    <w:p w:rsidR="000939DE" w:rsidRPr="009727A6" w:rsidRDefault="000939DE" w:rsidP="000939DE">
      <w:pPr>
        <w:pStyle w:val="Titolo2"/>
        <w:numPr>
          <w:ilvl w:val="1"/>
          <w:numId w:val="6"/>
        </w:numPr>
      </w:pPr>
      <w:bookmarkStart w:id="47" w:name="_Toc518040080"/>
      <w:r w:rsidRPr="009727A6">
        <w:t xml:space="preserve">8. </w:t>
      </w:r>
      <w:r w:rsidR="00DD4B5B" w:rsidRPr="009727A6">
        <w:t>C</w:t>
      </w:r>
      <w:r w:rsidRPr="009727A6">
        <w:t>onclusioni</w:t>
      </w:r>
      <w:bookmarkEnd w:id="47"/>
    </w:p>
    <w:p w:rsidR="00B01C84" w:rsidRDefault="003C7333">
      <w:pPr>
        <w:suppressAutoHyphens w:val="0"/>
        <w:spacing w:before="0"/>
        <w:rPr>
          <w:rFonts w:eastAsia="Calibri"/>
          <w:sz w:val="20"/>
          <w:lang w:eastAsia="en-US"/>
        </w:rPr>
      </w:pPr>
      <w:r>
        <w:rPr>
          <w:rFonts w:eastAsia="Calibri"/>
          <w:sz w:val="20"/>
          <w:lang w:eastAsia="en-US"/>
        </w:rPr>
        <w:t xml:space="preserve">Nel 2018 l’azione di governo degli anni precedenti verrà continuata, ponendo attenzione alla realizzazione </w:t>
      </w:r>
      <w:r w:rsidR="00B01C84">
        <w:rPr>
          <w:rFonts w:eastAsia="Calibri"/>
          <w:sz w:val="20"/>
          <w:lang w:eastAsia="en-US"/>
        </w:rPr>
        <w:t>degli obiettivi</w:t>
      </w:r>
      <w:r>
        <w:rPr>
          <w:rFonts w:eastAsia="Calibri"/>
          <w:sz w:val="20"/>
          <w:lang w:eastAsia="en-US"/>
        </w:rPr>
        <w:t xml:space="preserve"> nel rispetto dei vincoli posti (di natura finanziaria e temporale). Pertanto, grande attenzione sarà posta all’avanzamento della sperimentazione della gestione unica dell’Ospedale di Baggiovara da parte dell’AOU con gli ulteriori accordi/aggiornamenti che dovessero rendersi necessari, alla realizzazione del Piano di riordino della rete dei servizi approvata dalla CTSS, al consolidamento degli ottimi risultati raggiunti in termini di controllo dei tempi di attesa della specialistica e degli interventi programmat</w:t>
      </w:r>
      <w:r w:rsidR="00B01C84">
        <w:rPr>
          <w:rFonts w:eastAsia="Calibri"/>
          <w:sz w:val="20"/>
          <w:lang w:eastAsia="en-US"/>
        </w:rPr>
        <w:t>i, allo sviluppo dei servizi di prossimità, presso le Case della Salute e il domicilio</w:t>
      </w:r>
      <w:r>
        <w:rPr>
          <w:rFonts w:eastAsia="Calibri"/>
          <w:sz w:val="20"/>
          <w:lang w:eastAsia="en-US"/>
        </w:rPr>
        <w:t xml:space="preserve">. </w:t>
      </w:r>
    </w:p>
    <w:p w:rsidR="00E27519" w:rsidRDefault="003C7333">
      <w:pPr>
        <w:suppressAutoHyphens w:val="0"/>
        <w:spacing w:before="0"/>
        <w:rPr>
          <w:rFonts w:eastAsia="Calibri"/>
          <w:sz w:val="20"/>
          <w:lang w:eastAsia="en-US"/>
        </w:rPr>
      </w:pPr>
      <w:r>
        <w:rPr>
          <w:rFonts w:eastAsia="Calibri"/>
          <w:sz w:val="20"/>
          <w:lang w:eastAsia="en-US"/>
        </w:rPr>
        <w:t xml:space="preserve">Aree di sviluppo del 2018 sono la </w:t>
      </w:r>
      <w:r w:rsidR="00B01C84">
        <w:rPr>
          <w:rFonts w:eastAsia="Calibri"/>
          <w:sz w:val="20"/>
          <w:lang w:eastAsia="en-US"/>
        </w:rPr>
        <w:t xml:space="preserve">formalizzazione </w:t>
      </w:r>
      <w:r>
        <w:rPr>
          <w:rFonts w:eastAsia="Calibri"/>
          <w:sz w:val="20"/>
          <w:lang w:eastAsia="en-US"/>
        </w:rPr>
        <w:t xml:space="preserve">di ulteriori percorsi </w:t>
      </w:r>
      <w:r w:rsidR="00B01C84">
        <w:rPr>
          <w:rFonts w:eastAsia="Calibri"/>
          <w:sz w:val="20"/>
          <w:lang w:eastAsia="en-US"/>
        </w:rPr>
        <w:t xml:space="preserve">multidisciplinari e interaziendali </w:t>
      </w:r>
      <w:r>
        <w:rPr>
          <w:rFonts w:eastAsia="Calibri"/>
          <w:sz w:val="20"/>
          <w:lang w:eastAsia="en-US"/>
        </w:rPr>
        <w:t xml:space="preserve">(tra i quali BPCO, scompenso, demenze), il rafforzamento della comunicazione attiva e partecipata con i cittadini e utenti, la semplificazione del processo di budget, il consolidamento della realizzazione degli obiettivi di programmazione regionale, il mantenimento dei tempi </w:t>
      </w:r>
      <w:r w:rsidR="00B01C84">
        <w:rPr>
          <w:rFonts w:eastAsia="Calibri"/>
          <w:sz w:val="20"/>
          <w:lang w:eastAsia="en-US"/>
        </w:rPr>
        <w:t xml:space="preserve">programmati per la </w:t>
      </w:r>
      <w:r>
        <w:rPr>
          <w:rFonts w:eastAsia="Calibri"/>
          <w:sz w:val="20"/>
          <w:lang w:eastAsia="en-US"/>
        </w:rPr>
        <w:t>realizzazione del Piano Investimenti e delle collegate opere</w:t>
      </w:r>
      <w:r w:rsidR="00AF667E">
        <w:rPr>
          <w:rFonts w:eastAsia="Calibri"/>
          <w:sz w:val="20"/>
          <w:lang w:eastAsia="en-US"/>
        </w:rPr>
        <w:t xml:space="preserve"> (in primis CdS Modena Nord, avvio lavori CdS e OsCo Castelfranco Emilia, avvio lavori CdS Carpi)</w:t>
      </w:r>
      <w:r>
        <w:rPr>
          <w:rFonts w:eastAsia="Calibri"/>
          <w:sz w:val="20"/>
          <w:lang w:eastAsia="en-US"/>
        </w:rPr>
        <w:t xml:space="preserve">. </w:t>
      </w:r>
      <w:r w:rsidR="0003178C">
        <w:rPr>
          <w:rFonts w:eastAsia="Calibri"/>
          <w:sz w:val="20"/>
          <w:lang w:eastAsia="en-US"/>
        </w:rPr>
        <w:br w:type="page"/>
      </w:r>
      <w:r w:rsidR="000939DE">
        <w:rPr>
          <w:rFonts w:eastAsia="Calibri"/>
          <w:sz w:val="20"/>
          <w:lang w:eastAsia="en-US"/>
        </w:rPr>
        <w:lastRenderedPageBreak/>
        <w:t xml:space="preserve"> </w:t>
      </w:r>
    </w:p>
    <w:p w:rsidR="00E27519" w:rsidRDefault="0003178C">
      <w:pPr>
        <w:pStyle w:val="Titolo2"/>
        <w:numPr>
          <w:ilvl w:val="1"/>
          <w:numId w:val="6"/>
        </w:numPr>
      </w:pPr>
      <w:bookmarkStart w:id="48" w:name="_Toc485741603"/>
      <w:bookmarkStart w:id="49" w:name="_Toc518040081"/>
      <w:r>
        <w:t>ALLEGATO 1: RELAZIONE DEL DIRETTORE GENERALE AL BILANCIO D’ESERCIZIO 201</w:t>
      </w:r>
      <w:bookmarkEnd w:id="48"/>
      <w:r w:rsidR="00B362B5">
        <w:t>7</w:t>
      </w:r>
      <w:bookmarkEnd w:id="49"/>
    </w:p>
    <w:p w:rsidR="00E27519" w:rsidRDefault="0003178C">
      <w:pPr>
        <w:spacing w:after="120"/>
        <w:contextualSpacing/>
        <w:jc w:val="both"/>
        <w:rPr>
          <w:rFonts w:eastAsia="Calibri"/>
          <w:sz w:val="20"/>
          <w:lang w:eastAsia="en-US"/>
        </w:rPr>
      </w:pPr>
      <w:r>
        <w:rPr>
          <w:sz w:val="21"/>
          <w:szCs w:val="21"/>
        </w:rPr>
        <w:t>Capitolo della Relazione sulla Gestione del Direttore Generale allegata al Bilancio d’esercizio 201</w:t>
      </w:r>
      <w:r w:rsidR="00B362B5">
        <w:rPr>
          <w:sz w:val="21"/>
          <w:szCs w:val="21"/>
        </w:rPr>
        <w:t xml:space="preserve">7 (Delibera 117 del 27/4/2018), </w:t>
      </w:r>
      <w:r>
        <w:rPr>
          <w:sz w:val="21"/>
          <w:szCs w:val="21"/>
        </w:rPr>
        <w:t xml:space="preserve">inerente la rendicontazione delle «azioni poste in essere per il perseguimento degli obiettivi della programmazione annuale regionale di </w:t>
      </w:r>
      <w:r w:rsidRPr="00CC5AEE">
        <w:rPr>
          <w:sz w:val="21"/>
          <w:szCs w:val="21"/>
        </w:rPr>
        <w:t xml:space="preserve">cui alla DGR </w:t>
      </w:r>
      <w:r w:rsidR="00CC5AEE" w:rsidRPr="00CC5AEE">
        <w:rPr>
          <w:sz w:val="21"/>
          <w:szCs w:val="21"/>
        </w:rPr>
        <w:t>830</w:t>
      </w:r>
      <w:r w:rsidRPr="00CC5AEE">
        <w:rPr>
          <w:sz w:val="21"/>
          <w:szCs w:val="21"/>
        </w:rPr>
        <w:t>/201</w:t>
      </w:r>
      <w:r w:rsidR="00CC5AEE" w:rsidRPr="00CC5AEE">
        <w:rPr>
          <w:sz w:val="21"/>
          <w:szCs w:val="21"/>
        </w:rPr>
        <w:t>7</w:t>
      </w:r>
      <w:r w:rsidR="00E624FB">
        <w:rPr>
          <w:sz w:val="21"/>
          <w:szCs w:val="21"/>
        </w:rPr>
        <w:t>.</w:t>
      </w:r>
    </w:p>
    <w:p w:rsidR="00E27519" w:rsidRDefault="00E27519">
      <w:pPr>
        <w:spacing w:after="120"/>
        <w:contextualSpacing/>
        <w:jc w:val="both"/>
        <w:rPr>
          <w:rFonts w:eastAsia="Calibri"/>
          <w:sz w:val="20"/>
          <w:lang w:eastAsia="en-US"/>
        </w:rPr>
      </w:pPr>
    </w:p>
    <w:p w:rsidR="00E27519" w:rsidRDefault="00E27519">
      <w:pPr>
        <w:spacing w:after="120"/>
        <w:contextualSpacing/>
        <w:jc w:val="both"/>
        <w:rPr>
          <w:rFonts w:eastAsia="Calibri"/>
          <w:sz w:val="20"/>
          <w:lang w:eastAsia="en-US"/>
        </w:rPr>
      </w:pPr>
    </w:p>
    <w:p w:rsidR="00E27519" w:rsidRDefault="00E27519">
      <w:pPr>
        <w:spacing w:after="120"/>
        <w:contextualSpacing/>
        <w:jc w:val="both"/>
        <w:rPr>
          <w:rFonts w:eastAsia="Calibri"/>
          <w:sz w:val="20"/>
          <w:lang w:eastAsia="en-US"/>
        </w:rPr>
      </w:pPr>
    </w:p>
    <w:p w:rsidR="00E27519" w:rsidRDefault="0003178C">
      <w:pPr>
        <w:pStyle w:val="Titolo2"/>
        <w:numPr>
          <w:ilvl w:val="1"/>
          <w:numId w:val="6"/>
        </w:numPr>
      </w:pPr>
      <w:bookmarkStart w:id="50" w:name="_Toc518040082"/>
      <w:r>
        <w:t>ALLEGATO 2: VALUTAZIONE  PRP ANNO 201</w:t>
      </w:r>
      <w:r w:rsidR="00B362B5">
        <w:t>7</w:t>
      </w:r>
      <w:r>
        <w:t xml:space="preserve"> EFFETTUATA DALLA RER</w:t>
      </w:r>
      <w:bookmarkEnd w:id="50"/>
    </w:p>
    <w:p w:rsidR="00E27519" w:rsidRDefault="00E27519">
      <w:pPr>
        <w:spacing w:after="120"/>
        <w:contextualSpacing/>
        <w:jc w:val="both"/>
        <w:rPr>
          <w:rFonts w:eastAsia="Calibri"/>
          <w:sz w:val="20"/>
          <w:lang w:eastAsia="en-US"/>
        </w:rPr>
      </w:pPr>
    </w:p>
    <w:sectPr w:rsidR="00E27519">
      <w:headerReference w:type="default" r:id="rId67"/>
      <w:footerReference w:type="default" r:id="rId68"/>
      <w:type w:val="continuous"/>
      <w:pgSz w:w="11906" w:h="16838"/>
      <w:pgMar w:top="1672" w:right="849" w:bottom="1135" w:left="851" w:header="720" w:footer="142" w:gutter="0"/>
      <w:cols w:space="720"/>
      <w:formProt w:val="0"/>
      <w:docGrid w:linePitch="312"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7CB" w:rsidRDefault="007F67CB">
      <w:pPr>
        <w:spacing w:before="0" w:after="0" w:line="240" w:lineRule="auto"/>
      </w:pPr>
      <w:r>
        <w:separator/>
      </w:r>
    </w:p>
  </w:endnote>
  <w:endnote w:type="continuationSeparator" w:id="0">
    <w:p w:rsidR="007F67CB" w:rsidRDefault="007F67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roman"/>
    <w:pitch w:val="default"/>
  </w:font>
  <w:font w:name="Mangal">
    <w:panose1 w:val="02040503050203030202"/>
    <w:charset w:val="00"/>
    <w:family w:val="roman"/>
    <w:pitch w:val="variable"/>
    <w:sig w:usb0="00008003" w:usb1="00000000" w:usb2="00000000" w:usb3="00000000" w:csb0="00000001" w:csb1="00000000"/>
  </w:font>
  <w:font w:name="ヒラギノ角ゴ Pro W3">
    <w:altName w:val="MS PMincho"/>
    <w:charset w:val="80"/>
    <w:family w:val="roman"/>
    <w:pitch w:val="default"/>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ymbol">
    <w:altName w:val="Segoe Print"/>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Times New Roman MT Std Bd">
    <w:altName w:val="Times New Roman"/>
    <w:charset w:val="00"/>
    <w:family w:val="roman"/>
    <w:pitch w:val="default"/>
  </w:font>
  <w:font w:name="Calibri Bold">
    <w:altName w:val="Calibri"/>
    <w:panose1 w:val="020F0702030404030204"/>
    <w:charset w:val="00"/>
    <w:family w:val="roman"/>
    <w:pitch w:val="default"/>
  </w:font>
  <w:font w:name="Calibri Bold Italic">
    <w:altName w:val="Calibri"/>
    <w:panose1 w:val="020F07020304040A0204"/>
    <w:charset w:val="00"/>
    <w:family w:val="roman"/>
    <w:pitch w:val="default"/>
  </w:font>
  <w:font w:name="Cambria Bold">
    <w:altName w:val="Cambria"/>
    <w:panose1 w:val="02040803050406030204"/>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7F8" w:rsidRDefault="006B47F8">
    <w:pPr>
      <w:pStyle w:val="Pidipagina"/>
      <w:jc w:val="center"/>
    </w:pPr>
    <w:r>
      <w:fldChar w:fldCharType="begin"/>
    </w:r>
    <w:r>
      <w:instrText>PAGE</w:instrText>
    </w:r>
    <w:r>
      <w:fldChar w:fldCharType="separate"/>
    </w:r>
    <w:r w:rsidR="001A1099">
      <w:rPr>
        <w:noProof/>
      </w:rPr>
      <w:t>2</w:t>
    </w:r>
    <w:r>
      <w:fldChar w:fldCharType="end"/>
    </w:r>
  </w:p>
  <w:p w:rsidR="006B47F8" w:rsidRDefault="006B47F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7CB" w:rsidRDefault="007F67CB">
      <w:pPr>
        <w:spacing w:before="0" w:after="0" w:line="240" w:lineRule="auto"/>
      </w:pPr>
      <w:r>
        <w:separator/>
      </w:r>
    </w:p>
  </w:footnote>
  <w:footnote w:type="continuationSeparator" w:id="0">
    <w:p w:rsidR="007F67CB" w:rsidRDefault="007F67CB">
      <w:pPr>
        <w:spacing w:before="0" w:after="0" w:line="240" w:lineRule="auto"/>
      </w:pPr>
      <w:r>
        <w:continuationSeparator/>
      </w:r>
    </w:p>
  </w:footnote>
  <w:footnote w:id="1">
    <w:p w:rsidR="006B47F8" w:rsidRDefault="006B47F8" w:rsidP="0080680C">
      <w:pPr>
        <w:pStyle w:val="Testonotaapidipagina"/>
        <w:jc w:val="both"/>
      </w:pPr>
      <w:r>
        <w:rPr>
          <w:rStyle w:val="Rimandonotaapidipagina"/>
        </w:rPr>
        <w:footnoteRef/>
      </w:r>
      <w:r>
        <w:t xml:space="preserve"> </w:t>
      </w:r>
      <w:r w:rsidRPr="00594471">
        <w:t>I reclami attivano un percorso formale di valutazione (istruttoria) attraverso l’acquisizione di relazioni o pareri richiesti ai responsabili delle Unità Operative o dei Servizi coinvolti; si concludono generalmente con una risposta scritta al cittadino.</w:t>
      </w:r>
    </w:p>
  </w:footnote>
  <w:footnote w:id="2">
    <w:p w:rsidR="006B47F8" w:rsidRDefault="006B47F8" w:rsidP="0080680C">
      <w:pPr>
        <w:pStyle w:val="Testonotaapidipagina"/>
        <w:jc w:val="both"/>
      </w:pPr>
      <w:r>
        <w:rPr>
          <w:rStyle w:val="Rimandonotaapidipagina"/>
        </w:rPr>
        <w:footnoteRef/>
      </w:r>
      <w:r>
        <w:t xml:space="preserve"> </w:t>
      </w:r>
      <w:r w:rsidRPr="00594471">
        <w:t>I rilievi sono inoltrati per lo più in modo informale (verbalmente o telefonicamente), si presentano di prevedibile e certa definizione, non richiedono l’apertura di un’istruttoria; si concludono generalmente con una risposta verbale, immediata o comunque estremamente veloce.</w:t>
      </w:r>
    </w:p>
  </w:footnote>
  <w:footnote w:id="3">
    <w:p w:rsidR="006B47F8" w:rsidRDefault="006B47F8" w:rsidP="0080680C">
      <w:pPr>
        <w:pStyle w:val="Testonotaapidipagina"/>
      </w:pPr>
      <w:r>
        <w:rPr>
          <w:rStyle w:val="Rimandonotaapidipagina"/>
        </w:rPr>
        <w:footnoteRef/>
      </w:r>
      <w:r>
        <w:t xml:space="preserve"> </w:t>
      </w:r>
      <w:r w:rsidRPr="007A10A3">
        <w:t>Non ancora chiuse al momento dell’estrazione dei dati per la predisposizione del presente report</w:t>
      </w:r>
      <w:r>
        <w:t>.</w:t>
      </w:r>
    </w:p>
  </w:footnote>
  <w:footnote w:id="4">
    <w:p w:rsidR="006B47F8" w:rsidRDefault="006B47F8" w:rsidP="0080680C">
      <w:pPr>
        <w:pStyle w:val="Testonotaapidipagina"/>
      </w:pPr>
      <w:r>
        <w:rPr>
          <w:rStyle w:val="Rimandonotaapidipagina"/>
        </w:rPr>
        <w:footnoteRef/>
      </w:r>
      <w:r>
        <w:t xml:space="preserve"> </w:t>
      </w:r>
      <w:r w:rsidRPr="007A10A3">
        <w:t>Si considera il valore mediano perché è il meno influenzato dai valori estremi.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7F8" w:rsidRDefault="006B47F8">
    <w:pPr>
      <w:pStyle w:val="Corpodeltesto"/>
      <w:spacing w:after="0"/>
      <w:jc w:val="center"/>
      <w:rPr>
        <w:rFonts w:ascii="Arial" w:hAnsi="Arial"/>
        <w:b/>
        <w:bCs/>
        <w:smallCaps/>
        <w:sz w:val="18"/>
        <w:szCs w:val="18"/>
      </w:rPr>
    </w:pPr>
    <w:r>
      <w:rPr>
        <w:noProof/>
        <w:lang w:eastAsia="it-IT" w:bidi="ar-SA"/>
      </w:rPr>
      <w:drawing>
        <wp:inline distT="0" distB="0" distL="0" distR="0" wp14:anchorId="21133289" wp14:editId="7886816A">
          <wp:extent cx="2329180" cy="543560"/>
          <wp:effectExtent l="0" t="0" r="0" b="0"/>
          <wp:docPr id="24" name="Immagine 1" descr="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1" descr="positivo"/>
                  <pic:cNvPicPr>
                    <a:picLocks noChangeAspect="1" noChangeArrowheads="1"/>
                  </pic:cNvPicPr>
                </pic:nvPicPr>
                <pic:blipFill>
                  <a:blip r:embed="rId1"/>
                  <a:stretch>
                    <a:fillRect/>
                  </a:stretch>
                </pic:blipFill>
                <pic:spPr>
                  <a:xfrm>
                    <a:off x="0" y="0"/>
                    <a:ext cx="2329180" cy="543560"/>
                  </a:xfrm>
                  <a:prstGeom prst="rect">
                    <a:avLst/>
                  </a:prstGeom>
                </pic:spPr>
              </pic:pic>
            </a:graphicData>
          </a:graphic>
        </wp:inline>
      </w:drawing>
    </w:r>
  </w:p>
  <w:p w:rsidR="006B47F8" w:rsidRDefault="006B47F8">
    <w:pPr>
      <w:pStyle w:val="Corpodeltesto"/>
      <w:spacing w:after="0"/>
      <w:jc w:val="center"/>
      <w:rPr>
        <w:rFonts w:ascii="Arial" w:hAnsi="Arial"/>
        <w:b/>
        <w:bCs/>
        <w:smallCaps/>
        <w:sz w:val="18"/>
        <w:szCs w:val="18"/>
      </w:rPr>
    </w:pPr>
  </w:p>
  <w:p w:rsidR="006B47F8" w:rsidRDefault="006B47F8">
    <w:pPr>
      <w:pStyle w:val="Corpodeltesto"/>
      <w:spacing w:after="0"/>
      <w:jc w:val="center"/>
      <w:rPr>
        <w:rFonts w:ascii="Arial" w:hAnsi="Arial"/>
        <w:b/>
        <w:bCs/>
        <w:smallCaps/>
        <w:sz w:val="18"/>
        <w:szCs w:val="18"/>
      </w:rPr>
    </w:pPr>
  </w:p>
  <w:p w:rsidR="006B47F8" w:rsidRDefault="006B47F8">
    <w:pPr>
      <w:pStyle w:val="Corpodeltesto"/>
      <w:spacing w:after="0"/>
      <w:jc w:val="center"/>
      <w:rPr>
        <w:rFonts w:ascii="Arial" w:hAnsi="Arial"/>
        <w:b/>
        <w:bCs/>
        <w:smallCaps/>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B65E5"/>
    <w:multiLevelType w:val="multilevel"/>
    <w:tmpl w:val="027B65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A70752"/>
    <w:multiLevelType w:val="multilevel"/>
    <w:tmpl w:val="05A7075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 w15:restartNumberingAfterBreak="0">
    <w:nsid w:val="06BC0ABD"/>
    <w:multiLevelType w:val="multilevel"/>
    <w:tmpl w:val="06BC0A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7A0A8C"/>
    <w:multiLevelType w:val="hybridMultilevel"/>
    <w:tmpl w:val="5784E75C"/>
    <w:lvl w:ilvl="0" w:tplc="745C7F6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F248F9"/>
    <w:multiLevelType w:val="multilevel"/>
    <w:tmpl w:val="0CF248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855EDC"/>
    <w:multiLevelType w:val="multilevel"/>
    <w:tmpl w:val="0D855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43006"/>
    <w:multiLevelType w:val="multilevel"/>
    <w:tmpl w:val="0F143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7D344B"/>
    <w:multiLevelType w:val="multilevel"/>
    <w:tmpl w:val="147D34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E03B5"/>
    <w:multiLevelType w:val="multilevel"/>
    <w:tmpl w:val="16DE03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0B1555"/>
    <w:multiLevelType w:val="multilevel"/>
    <w:tmpl w:val="180B15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C85CA7"/>
    <w:multiLevelType w:val="multilevel"/>
    <w:tmpl w:val="18C8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7D3002"/>
    <w:multiLevelType w:val="hybridMultilevel"/>
    <w:tmpl w:val="15D29AE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AC04CAE"/>
    <w:multiLevelType w:val="multilevel"/>
    <w:tmpl w:val="2AC04C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833B24"/>
    <w:multiLevelType w:val="hybridMultilevel"/>
    <w:tmpl w:val="1012E3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C94295"/>
    <w:multiLevelType w:val="multilevel"/>
    <w:tmpl w:val="2DC942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CD3AEC"/>
    <w:multiLevelType w:val="hybridMultilevel"/>
    <w:tmpl w:val="43C0A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3EF0CF9"/>
    <w:multiLevelType w:val="multilevel"/>
    <w:tmpl w:val="33EF0C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3C448D"/>
    <w:multiLevelType w:val="multilevel"/>
    <w:tmpl w:val="373C448D"/>
    <w:lvl w:ilvl="0">
      <w:start w:val="1"/>
      <w:numFmt w:val="decimal"/>
      <w:lvlText w:val="%1."/>
      <w:lvlJc w:val="left"/>
      <w:pPr>
        <w:ind w:left="1065" w:hanging="70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AC5012"/>
    <w:multiLevelType w:val="multilevel"/>
    <w:tmpl w:val="38AC5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B840283"/>
    <w:multiLevelType w:val="multilevel"/>
    <w:tmpl w:val="3B8402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437E66"/>
    <w:multiLevelType w:val="multilevel"/>
    <w:tmpl w:val="4C437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8E73B7"/>
    <w:multiLevelType w:val="multilevel"/>
    <w:tmpl w:val="4D8E73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6B5D16"/>
    <w:multiLevelType w:val="multilevel"/>
    <w:tmpl w:val="506B5D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27351CC"/>
    <w:multiLevelType w:val="multilevel"/>
    <w:tmpl w:val="527351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13F71AF"/>
    <w:multiLevelType w:val="multilevel"/>
    <w:tmpl w:val="613F71A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56007E"/>
    <w:multiLevelType w:val="multilevel"/>
    <w:tmpl w:val="6456007E"/>
    <w:lvl w:ilvl="0">
      <w:start w:val="1"/>
      <w:numFmt w:val="bullet"/>
      <w:pStyle w:val="Titolo1"/>
      <w:lvlText w:val=""/>
      <w:lvlJc w:val="left"/>
      <w:pPr>
        <w:ind w:left="432" w:hanging="432"/>
      </w:pPr>
      <w:rPr>
        <w:rFonts w:ascii="Symbol" w:hAnsi="Symbol" w:cs="Symbol" w:hint="default"/>
      </w:rPr>
    </w:lvl>
    <w:lvl w:ilvl="1">
      <w:start w:val="1"/>
      <w:numFmt w:val="none"/>
      <w:pStyle w:val="Titolo2"/>
      <w:suff w:val="nothing"/>
      <w:lvlText w:val=""/>
      <w:lvlJc w:val="left"/>
      <w:pPr>
        <w:ind w:left="576" w:hanging="576"/>
      </w:pPr>
      <w:rPr>
        <w:rFonts w:cs="Times New Roman"/>
      </w:rPr>
    </w:lvl>
    <w:lvl w:ilvl="2">
      <w:start w:val="1"/>
      <w:numFmt w:val="none"/>
      <w:pStyle w:val="Titolo3"/>
      <w:suff w:val="nothing"/>
      <w:lvlText w:val=""/>
      <w:lvlJc w:val="left"/>
      <w:pPr>
        <w:ind w:left="720" w:hanging="720"/>
      </w:pPr>
      <w:rPr>
        <w:rFonts w:cs="Times New Roman"/>
      </w:rPr>
    </w:lvl>
    <w:lvl w:ilvl="3">
      <w:start w:val="1"/>
      <w:numFmt w:val="none"/>
      <w:pStyle w:val="Titolo4"/>
      <w:suff w:val="nothing"/>
      <w:lvlText w:val=""/>
      <w:lvlJc w:val="left"/>
      <w:pPr>
        <w:ind w:left="864" w:hanging="864"/>
      </w:pPr>
      <w:rPr>
        <w:rFonts w:cs="Times New Roman"/>
      </w:r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26" w15:restartNumberingAfterBreak="0">
    <w:nsid w:val="64F309D5"/>
    <w:multiLevelType w:val="hybridMultilevel"/>
    <w:tmpl w:val="C6CC2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6340BE"/>
    <w:multiLevelType w:val="multilevel"/>
    <w:tmpl w:val="656340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F11593"/>
    <w:multiLevelType w:val="hybridMultilevel"/>
    <w:tmpl w:val="A43E48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604D11"/>
    <w:multiLevelType w:val="multilevel"/>
    <w:tmpl w:val="69604D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04425E"/>
    <w:multiLevelType w:val="hybridMultilevel"/>
    <w:tmpl w:val="5F105218"/>
    <w:lvl w:ilvl="0" w:tplc="745C7F6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FE45F74"/>
    <w:multiLevelType w:val="multilevel"/>
    <w:tmpl w:val="6FE45F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03E54B1"/>
    <w:multiLevelType w:val="multilevel"/>
    <w:tmpl w:val="703E54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0C1751"/>
    <w:multiLevelType w:val="multilevel"/>
    <w:tmpl w:val="720C17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3042411"/>
    <w:multiLevelType w:val="multilevel"/>
    <w:tmpl w:val="7304241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73194B8B"/>
    <w:multiLevelType w:val="multilevel"/>
    <w:tmpl w:val="506B5D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51A2B6A"/>
    <w:multiLevelType w:val="multilevel"/>
    <w:tmpl w:val="751A2B6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FB4AAE"/>
    <w:multiLevelType w:val="multilevel"/>
    <w:tmpl w:val="76FB4AAE"/>
    <w:lvl w:ilvl="0">
      <w:start w:val="1"/>
      <w:numFmt w:val="bullet"/>
      <w:lvlText w:val=""/>
      <w:lvlJc w:val="left"/>
      <w:pPr>
        <w:ind w:left="720" w:hanging="360"/>
      </w:pPr>
      <w:rPr>
        <w:rFonts w:ascii="Symbol" w:hAnsi="Symbol" w:cs="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38" w15:restartNumberingAfterBreak="0">
    <w:nsid w:val="791C6A15"/>
    <w:multiLevelType w:val="multilevel"/>
    <w:tmpl w:val="791C6A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22"/>
  </w:num>
  <w:num w:numId="3">
    <w:abstractNumId w:val="17"/>
  </w:num>
  <w:num w:numId="4">
    <w:abstractNumId w:val="0"/>
  </w:num>
  <w:num w:numId="5">
    <w:abstractNumId w:val="24"/>
  </w:num>
  <w:num w:numId="6">
    <w:abstractNumId w:val="37"/>
  </w:num>
  <w:num w:numId="7">
    <w:abstractNumId w:val="8"/>
  </w:num>
  <w:num w:numId="8">
    <w:abstractNumId w:val="23"/>
  </w:num>
  <w:num w:numId="9">
    <w:abstractNumId w:val="7"/>
  </w:num>
  <w:num w:numId="10">
    <w:abstractNumId w:val="14"/>
  </w:num>
  <w:num w:numId="11">
    <w:abstractNumId w:val="21"/>
  </w:num>
  <w:num w:numId="12">
    <w:abstractNumId w:val="6"/>
  </w:num>
  <w:num w:numId="13">
    <w:abstractNumId w:val="38"/>
  </w:num>
  <w:num w:numId="14">
    <w:abstractNumId w:val="32"/>
  </w:num>
  <w:num w:numId="15">
    <w:abstractNumId w:val="31"/>
  </w:num>
  <w:num w:numId="16">
    <w:abstractNumId w:val="4"/>
  </w:num>
  <w:num w:numId="17">
    <w:abstractNumId w:val="9"/>
  </w:num>
  <w:num w:numId="18">
    <w:abstractNumId w:val="27"/>
  </w:num>
  <w:num w:numId="19">
    <w:abstractNumId w:val="12"/>
  </w:num>
  <w:num w:numId="20">
    <w:abstractNumId w:val="19"/>
  </w:num>
  <w:num w:numId="21">
    <w:abstractNumId w:val="20"/>
  </w:num>
  <w:num w:numId="22">
    <w:abstractNumId w:val="36"/>
  </w:num>
  <w:num w:numId="23">
    <w:abstractNumId w:val="10"/>
  </w:num>
  <w:num w:numId="24">
    <w:abstractNumId w:val="33"/>
  </w:num>
  <w:num w:numId="25">
    <w:abstractNumId w:val="1"/>
  </w:num>
  <w:num w:numId="26">
    <w:abstractNumId w:val="34"/>
  </w:num>
  <w:num w:numId="27">
    <w:abstractNumId w:val="2"/>
  </w:num>
  <w:num w:numId="28">
    <w:abstractNumId w:val="5"/>
  </w:num>
  <w:num w:numId="29">
    <w:abstractNumId w:val="29"/>
  </w:num>
  <w:num w:numId="30">
    <w:abstractNumId w:val="16"/>
  </w:num>
  <w:num w:numId="31">
    <w:abstractNumId w:val="18"/>
  </w:num>
  <w:num w:numId="32">
    <w:abstractNumId w:val="35"/>
  </w:num>
  <w:num w:numId="33">
    <w:abstractNumId w:val="13"/>
  </w:num>
  <w:num w:numId="34">
    <w:abstractNumId w:val="15"/>
  </w:num>
  <w:num w:numId="35">
    <w:abstractNumId w:val="26"/>
  </w:num>
  <w:num w:numId="36">
    <w:abstractNumId w:val="30"/>
  </w:num>
  <w:num w:numId="37">
    <w:abstractNumId w:val="3"/>
  </w:num>
  <w:num w:numId="38">
    <w:abstractNumId w:val="11"/>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432"/>
    <w:rsid w:val="0000198F"/>
    <w:rsid w:val="00011CFB"/>
    <w:rsid w:val="000201F8"/>
    <w:rsid w:val="00021534"/>
    <w:rsid w:val="0002337B"/>
    <w:rsid w:val="0003178C"/>
    <w:rsid w:val="00032F08"/>
    <w:rsid w:val="00033563"/>
    <w:rsid w:val="0003480E"/>
    <w:rsid w:val="00044BF3"/>
    <w:rsid w:val="00052DA1"/>
    <w:rsid w:val="00054818"/>
    <w:rsid w:val="000717C0"/>
    <w:rsid w:val="00071C13"/>
    <w:rsid w:val="00076635"/>
    <w:rsid w:val="00084CF9"/>
    <w:rsid w:val="00084F12"/>
    <w:rsid w:val="000905E8"/>
    <w:rsid w:val="000939DE"/>
    <w:rsid w:val="00095D4E"/>
    <w:rsid w:val="0009770C"/>
    <w:rsid w:val="000A052D"/>
    <w:rsid w:val="000A3EBB"/>
    <w:rsid w:val="000A4E6E"/>
    <w:rsid w:val="000B0699"/>
    <w:rsid w:val="000B5FFF"/>
    <w:rsid w:val="000C01AC"/>
    <w:rsid w:val="000C0665"/>
    <w:rsid w:val="000C11BD"/>
    <w:rsid w:val="000C195A"/>
    <w:rsid w:val="000C67F3"/>
    <w:rsid w:val="000D0B61"/>
    <w:rsid w:val="000E00EB"/>
    <w:rsid w:val="000E037F"/>
    <w:rsid w:val="000E53FB"/>
    <w:rsid w:val="000F1998"/>
    <w:rsid w:val="000F52D4"/>
    <w:rsid w:val="000F5F50"/>
    <w:rsid w:val="00100A77"/>
    <w:rsid w:val="0010421F"/>
    <w:rsid w:val="001053C9"/>
    <w:rsid w:val="00106573"/>
    <w:rsid w:val="00111E86"/>
    <w:rsid w:val="001230EC"/>
    <w:rsid w:val="00123417"/>
    <w:rsid w:val="0012397C"/>
    <w:rsid w:val="00127384"/>
    <w:rsid w:val="001322CE"/>
    <w:rsid w:val="00133AED"/>
    <w:rsid w:val="00133C16"/>
    <w:rsid w:val="0013507B"/>
    <w:rsid w:val="0013567B"/>
    <w:rsid w:val="00143BFD"/>
    <w:rsid w:val="00146545"/>
    <w:rsid w:val="00146748"/>
    <w:rsid w:val="00155CC7"/>
    <w:rsid w:val="00157DA7"/>
    <w:rsid w:val="00160BBC"/>
    <w:rsid w:val="00164FE3"/>
    <w:rsid w:val="00171B80"/>
    <w:rsid w:val="001729FE"/>
    <w:rsid w:val="00172D89"/>
    <w:rsid w:val="00173AD8"/>
    <w:rsid w:val="00176CE2"/>
    <w:rsid w:val="00183EF4"/>
    <w:rsid w:val="00185432"/>
    <w:rsid w:val="00190ACB"/>
    <w:rsid w:val="0019276C"/>
    <w:rsid w:val="001965DA"/>
    <w:rsid w:val="00197511"/>
    <w:rsid w:val="001A1099"/>
    <w:rsid w:val="001A58CD"/>
    <w:rsid w:val="001C5068"/>
    <w:rsid w:val="001D10B0"/>
    <w:rsid w:val="001D2BD6"/>
    <w:rsid w:val="001D3AD3"/>
    <w:rsid w:val="001D3C77"/>
    <w:rsid w:val="001D5564"/>
    <w:rsid w:val="001E047C"/>
    <w:rsid w:val="001E3EDE"/>
    <w:rsid w:val="001F2B92"/>
    <w:rsid w:val="001F5BA5"/>
    <w:rsid w:val="001F624C"/>
    <w:rsid w:val="00206130"/>
    <w:rsid w:val="002171F2"/>
    <w:rsid w:val="002223AB"/>
    <w:rsid w:val="002240C5"/>
    <w:rsid w:val="00224115"/>
    <w:rsid w:val="00224BF0"/>
    <w:rsid w:val="002265F6"/>
    <w:rsid w:val="002351BB"/>
    <w:rsid w:val="00236E7C"/>
    <w:rsid w:val="00240D56"/>
    <w:rsid w:val="002424A4"/>
    <w:rsid w:val="0024761C"/>
    <w:rsid w:val="00254FDB"/>
    <w:rsid w:val="00255CFE"/>
    <w:rsid w:val="002563E2"/>
    <w:rsid w:val="00260976"/>
    <w:rsid w:val="002619B3"/>
    <w:rsid w:val="00262114"/>
    <w:rsid w:val="0027241D"/>
    <w:rsid w:val="00273AFE"/>
    <w:rsid w:val="00273DB3"/>
    <w:rsid w:val="00273DF4"/>
    <w:rsid w:val="00276F33"/>
    <w:rsid w:val="002817DE"/>
    <w:rsid w:val="00281FE7"/>
    <w:rsid w:val="002848C5"/>
    <w:rsid w:val="00284B11"/>
    <w:rsid w:val="00285906"/>
    <w:rsid w:val="00286909"/>
    <w:rsid w:val="0029028A"/>
    <w:rsid w:val="002912FB"/>
    <w:rsid w:val="00291ACD"/>
    <w:rsid w:val="0029286B"/>
    <w:rsid w:val="00293967"/>
    <w:rsid w:val="002941AD"/>
    <w:rsid w:val="0029466E"/>
    <w:rsid w:val="002956A2"/>
    <w:rsid w:val="002A4228"/>
    <w:rsid w:val="002B4FF7"/>
    <w:rsid w:val="002C0E4A"/>
    <w:rsid w:val="002C15E5"/>
    <w:rsid w:val="002C1BD4"/>
    <w:rsid w:val="002C3534"/>
    <w:rsid w:val="002C5D48"/>
    <w:rsid w:val="002C7521"/>
    <w:rsid w:val="002D0F3D"/>
    <w:rsid w:val="002D6324"/>
    <w:rsid w:val="002D7BDF"/>
    <w:rsid w:val="002E080C"/>
    <w:rsid w:val="002E3A67"/>
    <w:rsid w:val="002E4C6E"/>
    <w:rsid w:val="002F5454"/>
    <w:rsid w:val="002F5459"/>
    <w:rsid w:val="002F6617"/>
    <w:rsid w:val="00301072"/>
    <w:rsid w:val="003044AB"/>
    <w:rsid w:val="0031328A"/>
    <w:rsid w:val="0031355D"/>
    <w:rsid w:val="00314E63"/>
    <w:rsid w:val="00315DEF"/>
    <w:rsid w:val="00321DC3"/>
    <w:rsid w:val="003222B1"/>
    <w:rsid w:val="00322FC3"/>
    <w:rsid w:val="00327560"/>
    <w:rsid w:val="00343E71"/>
    <w:rsid w:val="0034477D"/>
    <w:rsid w:val="00354125"/>
    <w:rsid w:val="00356957"/>
    <w:rsid w:val="00357E9B"/>
    <w:rsid w:val="00360DF7"/>
    <w:rsid w:val="003610AB"/>
    <w:rsid w:val="003642B0"/>
    <w:rsid w:val="003644A7"/>
    <w:rsid w:val="003650A8"/>
    <w:rsid w:val="00366B66"/>
    <w:rsid w:val="003732FE"/>
    <w:rsid w:val="00375261"/>
    <w:rsid w:val="00380A32"/>
    <w:rsid w:val="00380FBB"/>
    <w:rsid w:val="003852A7"/>
    <w:rsid w:val="00387816"/>
    <w:rsid w:val="003A0844"/>
    <w:rsid w:val="003A0BF9"/>
    <w:rsid w:val="003A10B1"/>
    <w:rsid w:val="003A2C2B"/>
    <w:rsid w:val="003A3F9D"/>
    <w:rsid w:val="003A4992"/>
    <w:rsid w:val="003A7EF7"/>
    <w:rsid w:val="003C057A"/>
    <w:rsid w:val="003C3809"/>
    <w:rsid w:val="003C5E89"/>
    <w:rsid w:val="003C6FBF"/>
    <w:rsid w:val="003C708B"/>
    <w:rsid w:val="003C7333"/>
    <w:rsid w:val="003D02A3"/>
    <w:rsid w:val="003D41D2"/>
    <w:rsid w:val="003E14C3"/>
    <w:rsid w:val="003E1FD6"/>
    <w:rsid w:val="003E5D36"/>
    <w:rsid w:val="003E6534"/>
    <w:rsid w:val="003F0CAF"/>
    <w:rsid w:val="004024B1"/>
    <w:rsid w:val="004046C2"/>
    <w:rsid w:val="00407160"/>
    <w:rsid w:val="004078AA"/>
    <w:rsid w:val="00415AFA"/>
    <w:rsid w:val="00415FEE"/>
    <w:rsid w:val="00420CEA"/>
    <w:rsid w:val="00423E1B"/>
    <w:rsid w:val="00424257"/>
    <w:rsid w:val="00430AAB"/>
    <w:rsid w:val="0043144F"/>
    <w:rsid w:val="00432868"/>
    <w:rsid w:val="00432C35"/>
    <w:rsid w:val="00433279"/>
    <w:rsid w:val="004337B6"/>
    <w:rsid w:val="0043494F"/>
    <w:rsid w:val="0044019C"/>
    <w:rsid w:val="00441B14"/>
    <w:rsid w:val="00443A8A"/>
    <w:rsid w:val="00443DF2"/>
    <w:rsid w:val="00444BCA"/>
    <w:rsid w:val="00444BF2"/>
    <w:rsid w:val="004506EE"/>
    <w:rsid w:val="00453AE3"/>
    <w:rsid w:val="00463DD2"/>
    <w:rsid w:val="00464820"/>
    <w:rsid w:val="00477776"/>
    <w:rsid w:val="00480BE6"/>
    <w:rsid w:val="00481D52"/>
    <w:rsid w:val="0048227F"/>
    <w:rsid w:val="00485A95"/>
    <w:rsid w:val="0049106C"/>
    <w:rsid w:val="00495612"/>
    <w:rsid w:val="00495D0D"/>
    <w:rsid w:val="004A01C6"/>
    <w:rsid w:val="004A038E"/>
    <w:rsid w:val="004A03D6"/>
    <w:rsid w:val="004A2DDF"/>
    <w:rsid w:val="004A31B6"/>
    <w:rsid w:val="004A4EAF"/>
    <w:rsid w:val="004B3E5D"/>
    <w:rsid w:val="004C15A9"/>
    <w:rsid w:val="004C15F0"/>
    <w:rsid w:val="004C6B20"/>
    <w:rsid w:val="004D019F"/>
    <w:rsid w:val="004D3533"/>
    <w:rsid w:val="004D3ACA"/>
    <w:rsid w:val="004D6055"/>
    <w:rsid w:val="004D60DA"/>
    <w:rsid w:val="004E1D20"/>
    <w:rsid w:val="004E6C9D"/>
    <w:rsid w:val="004E7D93"/>
    <w:rsid w:val="004F3F83"/>
    <w:rsid w:val="004F5859"/>
    <w:rsid w:val="004F731A"/>
    <w:rsid w:val="005037DC"/>
    <w:rsid w:val="00505BA6"/>
    <w:rsid w:val="00510150"/>
    <w:rsid w:val="00510C6F"/>
    <w:rsid w:val="00512FFD"/>
    <w:rsid w:val="00513856"/>
    <w:rsid w:val="005204A4"/>
    <w:rsid w:val="00521186"/>
    <w:rsid w:val="005263C5"/>
    <w:rsid w:val="00526471"/>
    <w:rsid w:val="00527E6E"/>
    <w:rsid w:val="005353E2"/>
    <w:rsid w:val="0053791E"/>
    <w:rsid w:val="00542FCD"/>
    <w:rsid w:val="00545395"/>
    <w:rsid w:val="00546AFD"/>
    <w:rsid w:val="00551A95"/>
    <w:rsid w:val="00551CB8"/>
    <w:rsid w:val="00554716"/>
    <w:rsid w:val="00554EF9"/>
    <w:rsid w:val="00560E5F"/>
    <w:rsid w:val="0056147D"/>
    <w:rsid w:val="0056238D"/>
    <w:rsid w:val="00564A44"/>
    <w:rsid w:val="0056504F"/>
    <w:rsid w:val="005717AC"/>
    <w:rsid w:val="00577D4F"/>
    <w:rsid w:val="005818C3"/>
    <w:rsid w:val="00583A87"/>
    <w:rsid w:val="005849F6"/>
    <w:rsid w:val="00594439"/>
    <w:rsid w:val="00596201"/>
    <w:rsid w:val="005A2343"/>
    <w:rsid w:val="005A350D"/>
    <w:rsid w:val="005A4801"/>
    <w:rsid w:val="005B0244"/>
    <w:rsid w:val="005B0529"/>
    <w:rsid w:val="005B0F3F"/>
    <w:rsid w:val="005B2238"/>
    <w:rsid w:val="005B4AE1"/>
    <w:rsid w:val="005B5BBF"/>
    <w:rsid w:val="005C1197"/>
    <w:rsid w:val="005C5A8C"/>
    <w:rsid w:val="005C5D58"/>
    <w:rsid w:val="005C7B17"/>
    <w:rsid w:val="005D0400"/>
    <w:rsid w:val="005D33AC"/>
    <w:rsid w:val="005D390D"/>
    <w:rsid w:val="005D4A3A"/>
    <w:rsid w:val="005E004E"/>
    <w:rsid w:val="005E53C0"/>
    <w:rsid w:val="005E5BDA"/>
    <w:rsid w:val="005E68AF"/>
    <w:rsid w:val="005E7527"/>
    <w:rsid w:val="005E762C"/>
    <w:rsid w:val="005E7A93"/>
    <w:rsid w:val="005E7EDC"/>
    <w:rsid w:val="005F13D8"/>
    <w:rsid w:val="005F2264"/>
    <w:rsid w:val="005F2526"/>
    <w:rsid w:val="005F5274"/>
    <w:rsid w:val="005F7452"/>
    <w:rsid w:val="005F7489"/>
    <w:rsid w:val="0060165C"/>
    <w:rsid w:val="00601CAF"/>
    <w:rsid w:val="00605093"/>
    <w:rsid w:val="00605CFF"/>
    <w:rsid w:val="00610C50"/>
    <w:rsid w:val="00613485"/>
    <w:rsid w:val="00615E39"/>
    <w:rsid w:val="00615E79"/>
    <w:rsid w:val="006171CA"/>
    <w:rsid w:val="00617B46"/>
    <w:rsid w:val="00623BB9"/>
    <w:rsid w:val="006249B6"/>
    <w:rsid w:val="00624B78"/>
    <w:rsid w:val="006261DE"/>
    <w:rsid w:val="00627A35"/>
    <w:rsid w:val="00630949"/>
    <w:rsid w:val="00631E06"/>
    <w:rsid w:val="00632652"/>
    <w:rsid w:val="00632D41"/>
    <w:rsid w:val="00632E0C"/>
    <w:rsid w:val="00633917"/>
    <w:rsid w:val="00644A15"/>
    <w:rsid w:val="00644B6E"/>
    <w:rsid w:val="006477F7"/>
    <w:rsid w:val="006533C7"/>
    <w:rsid w:val="00655BD7"/>
    <w:rsid w:val="006607B2"/>
    <w:rsid w:val="006627FF"/>
    <w:rsid w:val="00663BFC"/>
    <w:rsid w:val="006666BD"/>
    <w:rsid w:val="00667476"/>
    <w:rsid w:val="00671773"/>
    <w:rsid w:val="00673833"/>
    <w:rsid w:val="00675D56"/>
    <w:rsid w:val="00676144"/>
    <w:rsid w:val="00676313"/>
    <w:rsid w:val="00676780"/>
    <w:rsid w:val="00691BB1"/>
    <w:rsid w:val="00693744"/>
    <w:rsid w:val="00695370"/>
    <w:rsid w:val="006976F6"/>
    <w:rsid w:val="00697871"/>
    <w:rsid w:val="00697AF9"/>
    <w:rsid w:val="006A05E1"/>
    <w:rsid w:val="006A531F"/>
    <w:rsid w:val="006B1083"/>
    <w:rsid w:val="006B1F2A"/>
    <w:rsid w:val="006B47F8"/>
    <w:rsid w:val="006B4CC4"/>
    <w:rsid w:val="006B5085"/>
    <w:rsid w:val="006C01BD"/>
    <w:rsid w:val="006C03BF"/>
    <w:rsid w:val="006C53C6"/>
    <w:rsid w:val="006C63B9"/>
    <w:rsid w:val="006D1D3E"/>
    <w:rsid w:val="006E0BC8"/>
    <w:rsid w:val="006E129B"/>
    <w:rsid w:val="006E1B10"/>
    <w:rsid w:val="006E254F"/>
    <w:rsid w:val="006E54D6"/>
    <w:rsid w:val="006F0952"/>
    <w:rsid w:val="006F49C4"/>
    <w:rsid w:val="00700C30"/>
    <w:rsid w:val="0070560D"/>
    <w:rsid w:val="00711D09"/>
    <w:rsid w:val="007134B9"/>
    <w:rsid w:val="00715913"/>
    <w:rsid w:val="00715A7B"/>
    <w:rsid w:val="00716BDE"/>
    <w:rsid w:val="00720379"/>
    <w:rsid w:val="0072414F"/>
    <w:rsid w:val="007275EE"/>
    <w:rsid w:val="007401A3"/>
    <w:rsid w:val="00741F74"/>
    <w:rsid w:val="0074387C"/>
    <w:rsid w:val="0075169B"/>
    <w:rsid w:val="00757062"/>
    <w:rsid w:val="0075763E"/>
    <w:rsid w:val="00761AE0"/>
    <w:rsid w:val="007645B1"/>
    <w:rsid w:val="00770748"/>
    <w:rsid w:val="00777CFF"/>
    <w:rsid w:val="007803BB"/>
    <w:rsid w:val="00782901"/>
    <w:rsid w:val="00783FBE"/>
    <w:rsid w:val="007844CF"/>
    <w:rsid w:val="007863F1"/>
    <w:rsid w:val="00787A73"/>
    <w:rsid w:val="00791F75"/>
    <w:rsid w:val="007948B5"/>
    <w:rsid w:val="00795A02"/>
    <w:rsid w:val="00797088"/>
    <w:rsid w:val="00797CFB"/>
    <w:rsid w:val="007A1696"/>
    <w:rsid w:val="007A7A82"/>
    <w:rsid w:val="007B0B79"/>
    <w:rsid w:val="007B1099"/>
    <w:rsid w:val="007B6796"/>
    <w:rsid w:val="007C2F9B"/>
    <w:rsid w:val="007C5370"/>
    <w:rsid w:val="007C537A"/>
    <w:rsid w:val="007C5480"/>
    <w:rsid w:val="007C573B"/>
    <w:rsid w:val="007D1362"/>
    <w:rsid w:val="007D1829"/>
    <w:rsid w:val="007D1F1E"/>
    <w:rsid w:val="007D2A63"/>
    <w:rsid w:val="007D2CA9"/>
    <w:rsid w:val="007D3E3E"/>
    <w:rsid w:val="007D4252"/>
    <w:rsid w:val="007E2682"/>
    <w:rsid w:val="007E3A09"/>
    <w:rsid w:val="007E7220"/>
    <w:rsid w:val="007F076D"/>
    <w:rsid w:val="007F2EEA"/>
    <w:rsid w:val="007F2EF8"/>
    <w:rsid w:val="007F56F6"/>
    <w:rsid w:val="007F67CB"/>
    <w:rsid w:val="007F6C03"/>
    <w:rsid w:val="0080410F"/>
    <w:rsid w:val="008062DD"/>
    <w:rsid w:val="0080680C"/>
    <w:rsid w:val="008070ED"/>
    <w:rsid w:val="00821EC3"/>
    <w:rsid w:val="00825E13"/>
    <w:rsid w:val="00827360"/>
    <w:rsid w:val="00834003"/>
    <w:rsid w:val="00836FB6"/>
    <w:rsid w:val="00840C78"/>
    <w:rsid w:val="00841EA3"/>
    <w:rsid w:val="00851331"/>
    <w:rsid w:val="00851BC0"/>
    <w:rsid w:val="00852BF7"/>
    <w:rsid w:val="0085371A"/>
    <w:rsid w:val="008563BE"/>
    <w:rsid w:val="00860302"/>
    <w:rsid w:val="00860922"/>
    <w:rsid w:val="0086718E"/>
    <w:rsid w:val="00871355"/>
    <w:rsid w:val="00871AD9"/>
    <w:rsid w:val="0087321D"/>
    <w:rsid w:val="0087511F"/>
    <w:rsid w:val="008755EF"/>
    <w:rsid w:val="00875740"/>
    <w:rsid w:val="008808B2"/>
    <w:rsid w:val="00880A50"/>
    <w:rsid w:val="008901E0"/>
    <w:rsid w:val="0089264C"/>
    <w:rsid w:val="00894FF7"/>
    <w:rsid w:val="00897E90"/>
    <w:rsid w:val="008A0D1E"/>
    <w:rsid w:val="008A13FC"/>
    <w:rsid w:val="008A1781"/>
    <w:rsid w:val="008A3AEC"/>
    <w:rsid w:val="008A543F"/>
    <w:rsid w:val="008A5847"/>
    <w:rsid w:val="008B358F"/>
    <w:rsid w:val="008C01B0"/>
    <w:rsid w:val="008C087C"/>
    <w:rsid w:val="008C2CAC"/>
    <w:rsid w:val="008D242A"/>
    <w:rsid w:val="008D7E98"/>
    <w:rsid w:val="008E19DC"/>
    <w:rsid w:val="008E1BA6"/>
    <w:rsid w:val="008E37FD"/>
    <w:rsid w:val="008E38F3"/>
    <w:rsid w:val="008F067C"/>
    <w:rsid w:val="008F087D"/>
    <w:rsid w:val="008F3211"/>
    <w:rsid w:val="008F32A3"/>
    <w:rsid w:val="008F5C98"/>
    <w:rsid w:val="008F7885"/>
    <w:rsid w:val="009016AB"/>
    <w:rsid w:val="0090222A"/>
    <w:rsid w:val="0090305B"/>
    <w:rsid w:val="00907A95"/>
    <w:rsid w:val="009114B6"/>
    <w:rsid w:val="00911F3A"/>
    <w:rsid w:val="0091467A"/>
    <w:rsid w:val="0091529C"/>
    <w:rsid w:val="009222FA"/>
    <w:rsid w:val="009242FD"/>
    <w:rsid w:val="0093218D"/>
    <w:rsid w:val="00933A65"/>
    <w:rsid w:val="009377D9"/>
    <w:rsid w:val="00945D53"/>
    <w:rsid w:val="00954A1C"/>
    <w:rsid w:val="00954A79"/>
    <w:rsid w:val="00957520"/>
    <w:rsid w:val="00960194"/>
    <w:rsid w:val="00961974"/>
    <w:rsid w:val="00965179"/>
    <w:rsid w:val="009652B9"/>
    <w:rsid w:val="00965897"/>
    <w:rsid w:val="0097081F"/>
    <w:rsid w:val="00970BEA"/>
    <w:rsid w:val="00970ED6"/>
    <w:rsid w:val="0097198D"/>
    <w:rsid w:val="009727A6"/>
    <w:rsid w:val="00973260"/>
    <w:rsid w:val="00980534"/>
    <w:rsid w:val="00981EE0"/>
    <w:rsid w:val="00992CB2"/>
    <w:rsid w:val="00996093"/>
    <w:rsid w:val="009A73C3"/>
    <w:rsid w:val="009B36FA"/>
    <w:rsid w:val="009B3DAF"/>
    <w:rsid w:val="009B5879"/>
    <w:rsid w:val="009B7B7A"/>
    <w:rsid w:val="009C48B1"/>
    <w:rsid w:val="009C680D"/>
    <w:rsid w:val="009C6D05"/>
    <w:rsid w:val="009D1991"/>
    <w:rsid w:val="009D523E"/>
    <w:rsid w:val="009D5781"/>
    <w:rsid w:val="009F1816"/>
    <w:rsid w:val="009F2228"/>
    <w:rsid w:val="009F26AE"/>
    <w:rsid w:val="009F3B24"/>
    <w:rsid w:val="009F6D0F"/>
    <w:rsid w:val="00A013D8"/>
    <w:rsid w:val="00A030EE"/>
    <w:rsid w:val="00A04DCE"/>
    <w:rsid w:val="00A07766"/>
    <w:rsid w:val="00A11170"/>
    <w:rsid w:val="00A12F63"/>
    <w:rsid w:val="00A23102"/>
    <w:rsid w:val="00A25645"/>
    <w:rsid w:val="00A27DC8"/>
    <w:rsid w:val="00A339FF"/>
    <w:rsid w:val="00A3775C"/>
    <w:rsid w:val="00A37C34"/>
    <w:rsid w:val="00A40D3C"/>
    <w:rsid w:val="00A4165B"/>
    <w:rsid w:val="00A4191E"/>
    <w:rsid w:val="00A42B24"/>
    <w:rsid w:val="00A4619C"/>
    <w:rsid w:val="00A52D27"/>
    <w:rsid w:val="00A55C6D"/>
    <w:rsid w:val="00A55E0B"/>
    <w:rsid w:val="00A56238"/>
    <w:rsid w:val="00A6054A"/>
    <w:rsid w:val="00A67899"/>
    <w:rsid w:val="00A73093"/>
    <w:rsid w:val="00A7327E"/>
    <w:rsid w:val="00A805F7"/>
    <w:rsid w:val="00A81E7D"/>
    <w:rsid w:val="00A8281F"/>
    <w:rsid w:val="00A84F6B"/>
    <w:rsid w:val="00A94188"/>
    <w:rsid w:val="00A95220"/>
    <w:rsid w:val="00AA2AA8"/>
    <w:rsid w:val="00AA5E7D"/>
    <w:rsid w:val="00AA65E9"/>
    <w:rsid w:val="00AA75B8"/>
    <w:rsid w:val="00AB3B7C"/>
    <w:rsid w:val="00AB4E88"/>
    <w:rsid w:val="00AC1C18"/>
    <w:rsid w:val="00AC6483"/>
    <w:rsid w:val="00AC69C1"/>
    <w:rsid w:val="00AC7368"/>
    <w:rsid w:val="00AC7DF2"/>
    <w:rsid w:val="00AD0C79"/>
    <w:rsid w:val="00AD5882"/>
    <w:rsid w:val="00AD75CE"/>
    <w:rsid w:val="00AE6E4F"/>
    <w:rsid w:val="00AF4BCB"/>
    <w:rsid w:val="00AF5AEF"/>
    <w:rsid w:val="00AF5FD3"/>
    <w:rsid w:val="00AF667E"/>
    <w:rsid w:val="00AF67BA"/>
    <w:rsid w:val="00AF73AC"/>
    <w:rsid w:val="00B001FE"/>
    <w:rsid w:val="00B006F8"/>
    <w:rsid w:val="00B01C84"/>
    <w:rsid w:val="00B04146"/>
    <w:rsid w:val="00B0525C"/>
    <w:rsid w:val="00B05480"/>
    <w:rsid w:val="00B05B9F"/>
    <w:rsid w:val="00B13E13"/>
    <w:rsid w:val="00B16F46"/>
    <w:rsid w:val="00B268F5"/>
    <w:rsid w:val="00B2698C"/>
    <w:rsid w:val="00B306D2"/>
    <w:rsid w:val="00B30CB5"/>
    <w:rsid w:val="00B32D23"/>
    <w:rsid w:val="00B362B5"/>
    <w:rsid w:val="00B36AE8"/>
    <w:rsid w:val="00B426EE"/>
    <w:rsid w:val="00B447A0"/>
    <w:rsid w:val="00B4592D"/>
    <w:rsid w:val="00B53B67"/>
    <w:rsid w:val="00B564B5"/>
    <w:rsid w:val="00B56DE7"/>
    <w:rsid w:val="00B603A7"/>
    <w:rsid w:val="00B61840"/>
    <w:rsid w:val="00B6238C"/>
    <w:rsid w:val="00B65E97"/>
    <w:rsid w:val="00B703A6"/>
    <w:rsid w:val="00B73292"/>
    <w:rsid w:val="00B75555"/>
    <w:rsid w:val="00B75790"/>
    <w:rsid w:val="00B7584A"/>
    <w:rsid w:val="00B86318"/>
    <w:rsid w:val="00B8635D"/>
    <w:rsid w:val="00B86D69"/>
    <w:rsid w:val="00B87D9E"/>
    <w:rsid w:val="00B93618"/>
    <w:rsid w:val="00B950D6"/>
    <w:rsid w:val="00B95375"/>
    <w:rsid w:val="00BA2447"/>
    <w:rsid w:val="00BA498C"/>
    <w:rsid w:val="00BA7843"/>
    <w:rsid w:val="00BA7A19"/>
    <w:rsid w:val="00BB7395"/>
    <w:rsid w:val="00BC0962"/>
    <w:rsid w:val="00BC0E28"/>
    <w:rsid w:val="00BC1395"/>
    <w:rsid w:val="00BC13F8"/>
    <w:rsid w:val="00BC1608"/>
    <w:rsid w:val="00BC50DF"/>
    <w:rsid w:val="00BD043D"/>
    <w:rsid w:val="00BD31B2"/>
    <w:rsid w:val="00BD3A3A"/>
    <w:rsid w:val="00BD43FD"/>
    <w:rsid w:val="00BD5259"/>
    <w:rsid w:val="00BD5713"/>
    <w:rsid w:val="00BE15A1"/>
    <w:rsid w:val="00BE2A9C"/>
    <w:rsid w:val="00BE343A"/>
    <w:rsid w:val="00BE6AA9"/>
    <w:rsid w:val="00BF11E4"/>
    <w:rsid w:val="00BF3E34"/>
    <w:rsid w:val="00BF4B48"/>
    <w:rsid w:val="00BF6017"/>
    <w:rsid w:val="00C002D3"/>
    <w:rsid w:val="00C01FFC"/>
    <w:rsid w:val="00C06DA0"/>
    <w:rsid w:val="00C07214"/>
    <w:rsid w:val="00C14375"/>
    <w:rsid w:val="00C16D5B"/>
    <w:rsid w:val="00C17090"/>
    <w:rsid w:val="00C175F2"/>
    <w:rsid w:val="00C20CA4"/>
    <w:rsid w:val="00C25179"/>
    <w:rsid w:val="00C3048F"/>
    <w:rsid w:val="00C30566"/>
    <w:rsid w:val="00C35268"/>
    <w:rsid w:val="00C36EC1"/>
    <w:rsid w:val="00C42D8A"/>
    <w:rsid w:val="00C43D9E"/>
    <w:rsid w:val="00C45411"/>
    <w:rsid w:val="00C5181C"/>
    <w:rsid w:val="00C552E6"/>
    <w:rsid w:val="00C56F97"/>
    <w:rsid w:val="00C61862"/>
    <w:rsid w:val="00C65428"/>
    <w:rsid w:val="00C67868"/>
    <w:rsid w:val="00C70102"/>
    <w:rsid w:val="00C70344"/>
    <w:rsid w:val="00C73BD4"/>
    <w:rsid w:val="00C74D27"/>
    <w:rsid w:val="00C83A69"/>
    <w:rsid w:val="00C8633E"/>
    <w:rsid w:val="00C908C4"/>
    <w:rsid w:val="00C95889"/>
    <w:rsid w:val="00CA006B"/>
    <w:rsid w:val="00CA12A2"/>
    <w:rsid w:val="00CA334E"/>
    <w:rsid w:val="00CA4573"/>
    <w:rsid w:val="00CA6041"/>
    <w:rsid w:val="00CA6C29"/>
    <w:rsid w:val="00CB3A08"/>
    <w:rsid w:val="00CC595F"/>
    <w:rsid w:val="00CC5AEE"/>
    <w:rsid w:val="00CE1803"/>
    <w:rsid w:val="00CE62E0"/>
    <w:rsid w:val="00CE6D7B"/>
    <w:rsid w:val="00CE7226"/>
    <w:rsid w:val="00CF3DB3"/>
    <w:rsid w:val="00CF719E"/>
    <w:rsid w:val="00CF7B25"/>
    <w:rsid w:val="00D00F64"/>
    <w:rsid w:val="00D1093E"/>
    <w:rsid w:val="00D12533"/>
    <w:rsid w:val="00D16F67"/>
    <w:rsid w:val="00D17EAE"/>
    <w:rsid w:val="00D2592C"/>
    <w:rsid w:val="00D26DE2"/>
    <w:rsid w:val="00D31BB7"/>
    <w:rsid w:val="00D33AA8"/>
    <w:rsid w:val="00D34782"/>
    <w:rsid w:val="00D34D30"/>
    <w:rsid w:val="00D36E11"/>
    <w:rsid w:val="00D3769E"/>
    <w:rsid w:val="00D40A52"/>
    <w:rsid w:val="00D421AE"/>
    <w:rsid w:val="00D43214"/>
    <w:rsid w:val="00D46531"/>
    <w:rsid w:val="00D46713"/>
    <w:rsid w:val="00D47230"/>
    <w:rsid w:val="00D47C16"/>
    <w:rsid w:val="00D506E9"/>
    <w:rsid w:val="00D54DAD"/>
    <w:rsid w:val="00D556F0"/>
    <w:rsid w:val="00D75439"/>
    <w:rsid w:val="00D77024"/>
    <w:rsid w:val="00D8000F"/>
    <w:rsid w:val="00D8137E"/>
    <w:rsid w:val="00D81C40"/>
    <w:rsid w:val="00D83AEE"/>
    <w:rsid w:val="00D8578C"/>
    <w:rsid w:val="00D86521"/>
    <w:rsid w:val="00D87667"/>
    <w:rsid w:val="00D947E6"/>
    <w:rsid w:val="00D954AF"/>
    <w:rsid w:val="00D95585"/>
    <w:rsid w:val="00D975AA"/>
    <w:rsid w:val="00DA56E4"/>
    <w:rsid w:val="00DA6750"/>
    <w:rsid w:val="00DB052D"/>
    <w:rsid w:val="00DB1674"/>
    <w:rsid w:val="00DB2FB5"/>
    <w:rsid w:val="00DB3B86"/>
    <w:rsid w:val="00DB45DC"/>
    <w:rsid w:val="00DB4F9A"/>
    <w:rsid w:val="00DB601D"/>
    <w:rsid w:val="00DB6076"/>
    <w:rsid w:val="00DC3277"/>
    <w:rsid w:val="00DC351D"/>
    <w:rsid w:val="00DC36F2"/>
    <w:rsid w:val="00DD0D1C"/>
    <w:rsid w:val="00DD4B5B"/>
    <w:rsid w:val="00DF06C1"/>
    <w:rsid w:val="00DF20BB"/>
    <w:rsid w:val="00DF4DB6"/>
    <w:rsid w:val="00E045CF"/>
    <w:rsid w:val="00E06E22"/>
    <w:rsid w:val="00E1024B"/>
    <w:rsid w:val="00E1059D"/>
    <w:rsid w:val="00E11B44"/>
    <w:rsid w:val="00E16BE9"/>
    <w:rsid w:val="00E20DCD"/>
    <w:rsid w:val="00E267B3"/>
    <w:rsid w:val="00E2739E"/>
    <w:rsid w:val="00E27519"/>
    <w:rsid w:val="00E27709"/>
    <w:rsid w:val="00E27EA9"/>
    <w:rsid w:val="00E30F5B"/>
    <w:rsid w:val="00E41EB0"/>
    <w:rsid w:val="00E4305C"/>
    <w:rsid w:val="00E44F63"/>
    <w:rsid w:val="00E47379"/>
    <w:rsid w:val="00E54B00"/>
    <w:rsid w:val="00E56A77"/>
    <w:rsid w:val="00E610C0"/>
    <w:rsid w:val="00E617EC"/>
    <w:rsid w:val="00E624FB"/>
    <w:rsid w:val="00E638DE"/>
    <w:rsid w:val="00E80EB2"/>
    <w:rsid w:val="00E81A3B"/>
    <w:rsid w:val="00E8498F"/>
    <w:rsid w:val="00E864A8"/>
    <w:rsid w:val="00E8699E"/>
    <w:rsid w:val="00E93E08"/>
    <w:rsid w:val="00E9522E"/>
    <w:rsid w:val="00E97182"/>
    <w:rsid w:val="00E9749D"/>
    <w:rsid w:val="00EA17E8"/>
    <w:rsid w:val="00EA2DDE"/>
    <w:rsid w:val="00EA304C"/>
    <w:rsid w:val="00EA3416"/>
    <w:rsid w:val="00EA3DEE"/>
    <w:rsid w:val="00EA746C"/>
    <w:rsid w:val="00EB11DC"/>
    <w:rsid w:val="00EB2092"/>
    <w:rsid w:val="00EB3D27"/>
    <w:rsid w:val="00EB4290"/>
    <w:rsid w:val="00EB61FB"/>
    <w:rsid w:val="00EB6A16"/>
    <w:rsid w:val="00EC2755"/>
    <w:rsid w:val="00EC2BB7"/>
    <w:rsid w:val="00ED6F20"/>
    <w:rsid w:val="00ED75D0"/>
    <w:rsid w:val="00ED7AE1"/>
    <w:rsid w:val="00EE2DC9"/>
    <w:rsid w:val="00EE312D"/>
    <w:rsid w:val="00EE7EA3"/>
    <w:rsid w:val="00EF1504"/>
    <w:rsid w:val="00EF2159"/>
    <w:rsid w:val="00EF3B4C"/>
    <w:rsid w:val="00EF624A"/>
    <w:rsid w:val="00F00943"/>
    <w:rsid w:val="00F014C3"/>
    <w:rsid w:val="00F15690"/>
    <w:rsid w:val="00F17F1E"/>
    <w:rsid w:val="00F24D55"/>
    <w:rsid w:val="00F2515A"/>
    <w:rsid w:val="00F33ECC"/>
    <w:rsid w:val="00F370EB"/>
    <w:rsid w:val="00F43FFA"/>
    <w:rsid w:val="00F450E9"/>
    <w:rsid w:val="00F466A8"/>
    <w:rsid w:val="00F47D0D"/>
    <w:rsid w:val="00F50ACA"/>
    <w:rsid w:val="00F54259"/>
    <w:rsid w:val="00F602B0"/>
    <w:rsid w:val="00F6091A"/>
    <w:rsid w:val="00F60EFA"/>
    <w:rsid w:val="00F61228"/>
    <w:rsid w:val="00F70394"/>
    <w:rsid w:val="00F70F06"/>
    <w:rsid w:val="00F75BE0"/>
    <w:rsid w:val="00F81E45"/>
    <w:rsid w:val="00F83C3B"/>
    <w:rsid w:val="00F8438E"/>
    <w:rsid w:val="00F87AC0"/>
    <w:rsid w:val="00F9079B"/>
    <w:rsid w:val="00F921BA"/>
    <w:rsid w:val="00F92F9A"/>
    <w:rsid w:val="00FA1F03"/>
    <w:rsid w:val="00FA2946"/>
    <w:rsid w:val="00FA6FFB"/>
    <w:rsid w:val="00FB0206"/>
    <w:rsid w:val="00FB223A"/>
    <w:rsid w:val="00FB3DA3"/>
    <w:rsid w:val="00FC151C"/>
    <w:rsid w:val="00FC26D3"/>
    <w:rsid w:val="00FC3A58"/>
    <w:rsid w:val="00FC41F3"/>
    <w:rsid w:val="00FD2279"/>
    <w:rsid w:val="00FD50DA"/>
    <w:rsid w:val="00FD5FEA"/>
    <w:rsid w:val="00FD6E9B"/>
    <w:rsid w:val="00FE5A04"/>
    <w:rsid w:val="00FF090A"/>
    <w:rsid w:val="00FF44F8"/>
    <w:rsid w:val="00FF5274"/>
    <w:rsid w:val="00FF6981"/>
    <w:rsid w:val="00FF75EB"/>
    <w:rsid w:val="04353706"/>
    <w:rsid w:val="13977079"/>
    <w:rsid w:val="18710D39"/>
    <w:rsid w:val="190140D2"/>
    <w:rsid w:val="2C271A38"/>
    <w:rsid w:val="2D2B6D4C"/>
    <w:rsid w:val="344B54C1"/>
    <w:rsid w:val="40FF793F"/>
    <w:rsid w:val="42B00FD9"/>
    <w:rsid w:val="4D5819FD"/>
    <w:rsid w:val="4D727D7B"/>
    <w:rsid w:val="52C10EE2"/>
    <w:rsid w:val="55593DC3"/>
    <w:rsid w:val="57073FD2"/>
    <w:rsid w:val="5AF156A4"/>
    <w:rsid w:val="5C7443E3"/>
    <w:rsid w:val="5E90571B"/>
    <w:rsid w:val="63415F2C"/>
    <w:rsid w:val="666E532E"/>
    <w:rsid w:val="75C235C3"/>
  </w:rsids>
  <m:mathPr>
    <m:mathFont m:val="Cambria Math"/>
    <m:brkBin m:val="before"/>
    <m:brkBinSub m:val="--"/>
    <m:smallFrac m:val="0"/>
    <m:dispDef/>
    <m:lMargin m:val="0"/>
    <m:rMargin m:val="0"/>
    <m:defJc m:val="centerGroup"/>
    <m:wrapIndent m:val="1440"/>
    <m:intLim m:val="subSup"/>
    <m:naryLim m:val="undOvr"/>
  </m:mathPr>
  <w:themeFontLang w:val="it-IT"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F6945-98F2-49D8-A438-0C5DE615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it-IT" w:eastAsia="it-IT"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locked="1" w:unhideWhenUsed="1" w:qFormat="1"/>
    <w:lsdException w:name="heading 6" w:locked="1" w:uiPriority="9"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39" w:unhideWhenUsed="1"/>
    <w:lsdException w:name="index 2" w:locked="1" w:semiHidden="1" w:uiPriority="39" w:unhideWhenUsed="1"/>
    <w:lsdException w:name="index 3" w:locked="1" w:semiHidden="1" w:uiPriority="39" w:unhideWhenUsed="1"/>
    <w:lsdException w:name="index 4" w:locked="1" w:semiHidden="1" w:uiPriority="39" w:unhideWhenUsed="1"/>
    <w:lsdException w:name="index 5" w:locked="1" w:semiHidden="1" w:uiPriority="39" w:unhideWhenUsed="1"/>
    <w:lsdException w:name="index 6" w:locked="1" w:semiHidden="1" w:uiPriority="39" w:unhideWhenUsed="1"/>
    <w:lsdException w:name="index 7" w:locked="1" w:semiHidden="1" w:uiPriority="39" w:unhideWhenUsed="1"/>
    <w:lsdException w:name="index 8" w:locked="1" w:semiHidden="1" w:uiPriority="39" w:unhideWhenUsed="1"/>
    <w:lsdException w:name="index 9" w:locked="1" w:semiHidden="1" w:uiPriority="39"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lsdException w:name="footer" w:semiHidden="1" w:uiPriority="99" w:unhideWhenUsed="1" w:qFormat="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locked="1"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locked="1"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qFormat="1"/>
    <w:lsdException w:name="Medium Shading 1 Accent 5" w:uiPriority="63" w:qFormat="1"/>
    <w:lsdException w:name="Medium Shading 2 Accent 5" w:uiPriority="64"/>
    <w:lsdException w:name="Medium List 1 Accent 5" w:uiPriority="65" w:qFormat="1"/>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spacing w:before="120"/>
    </w:pPr>
    <w:rPr>
      <w:rFonts w:ascii="Calibri" w:eastAsia="Times New Roman" w:hAnsi="Calibri" w:cs="Calibri"/>
      <w:sz w:val="22"/>
      <w:lang w:eastAsia="hi-IN" w:bidi="hi-IN"/>
    </w:rPr>
  </w:style>
  <w:style w:type="paragraph" w:styleId="Titolo1">
    <w:name w:val="heading 1"/>
    <w:basedOn w:val="Normale"/>
    <w:next w:val="Normale"/>
    <w:uiPriority w:val="9"/>
    <w:qFormat/>
    <w:pPr>
      <w:keepNext/>
      <w:keepLines/>
      <w:numPr>
        <w:numId w:val="1"/>
      </w:numPr>
      <w:spacing w:before="480"/>
      <w:jc w:val="center"/>
      <w:outlineLvl w:val="0"/>
    </w:pPr>
    <w:rPr>
      <w:rFonts w:ascii="Cambria" w:hAnsi="Cambria" w:cs="Cambria"/>
      <w:b/>
      <w:smallCaps/>
      <w:sz w:val="36"/>
    </w:rPr>
  </w:style>
  <w:style w:type="paragraph" w:styleId="Titolo2">
    <w:name w:val="heading 2"/>
    <w:basedOn w:val="Normale"/>
    <w:next w:val="Normale"/>
    <w:qFormat/>
    <w:pPr>
      <w:keepNext/>
      <w:keepLines/>
      <w:numPr>
        <w:ilvl w:val="1"/>
        <w:numId w:val="1"/>
      </w:numPr>
      <w:spacing w:before="360" w:after="240"/>
      <w:outlineLvl w:val="1"/>
    </w:pPr>
    <w:rPr>
      <w:rFonts w:ascii="Cambria" w:hAnsi="Cambria" w:cs="Cambria"/>
      <w:b/>
      <w:smallCaps/>
      <w:sz w:val="26"/>
    </w:rPr>
  </w:style>
  <w:style w:type="paragraph" w:styleId="Titolo3">
    <w:name w:val="heading 3"/>
    <w:basedOn w:val="Normale"/>
    <w:next w:val="Normale"/>
    <w:uiPriority w:val="9"/>
    <w:qFormat/>
    <w:pPr>
      <w:keepNext/>
      <w:keepLines/>
      <w:numPr>
        <w:ilvl w:val="2"/>
        <w:numId w:val="1"/>
      </w:numPr>
      <w:spacing w:before="240" w:after="120"/>
      <w:ind w:left="284" w:firstLine="0"/>
      <w:outlineLvl w:val="2"/>
    </w:pPr>
    <w:rPr>
      <w:rFonts w:ascii="Cambria" w:hAnsi="Cambria" w:cs="Cambria"/>
      <w:b/>
    </w:rPr>
  </w:style>
  <w:style w:type="paragraph" w:styleId="Titolo4">
    <w:name w:val="heading 4"/>
    <w:basedOn w:val="Normale"/>
    <w:next w:val="Normale"/>
    <w:uiPriority w:val="9"/>
    <w:qFormat/>
    <w:pPr>
      <w:keepNext/>
      <w:keepLines/>
      <w:numPr>
        <w:ilvl w:val="3"/>
        <w:numId w:val="1"/>
      </w:numPr>
      <w:spacing w:before="200"/>
      <w:outlineLvl w:val="3"/>
    </w:pPr>
    <w:rPr>
      <w:rFonts w:ascii="Cambria" w:hAnsi="Cambria" w:cs="Cambria"/>
      <w:b/>
      <w:i/>
    </w:rPr>
  </w:style>
  <w:style w:type="paragraph" w:styleId="Titolo5">
    <w:name w:val="heading 5"/>
    <w:basedOn w:val="Normale"/>
    <w:next w:val="Normale"/>
    <w:link w:val="Titolo5Carattere"/>
    <w:unhideWhenUsed/>
    <w:qFormat/>
    <w:locked/>
    <w:pPr>
      <w:keepNext/>
      <w:keepLines/>
      <w:suppressAutoHyphens w:val="0"/>
      <w:spacing w:before="200"/>
      <w:outlineLvl w:val="4"/>
    </w:pPr>
    <w:rPr>
      <w:rFonts w:ascii="Cambria" w:hAnsi="Cambria" w:cs="Times New Roman"/>
      <w:color w:val="243F60"/>
      <w:szCs w:val="22"/>
      <w:lang w:eastAsia="en-US" w:bidi="ar-SA"/>
    </w:rPr>
  </w:style>
  <w:style w:type="paragraph" w:styleId="Titolo6">
    <w:name w:val="heading 6"/>
    <w:basedOn w:val="Normale"/>
    <w:next w:val="Normale"/>
    <w:link w:val="Titolo6Carattere"/>
    <w:uiPriority w:val="9"/>
    <w:qFormat/>
    <w:locked/>
    <w:pPr>
      <w:suppressAutoHyphens w:val="0"/>
      <w:spacing w:before="240" w:after="60"/>
      <w:outlineLvl w:val="5"/>
    </w:pPr>
    <w:rPr>
      <w:rFonts w:ascii="Times New Roman" w:hAnsi="Times New Roman" w:cs="Times New Roman"/>
      <w:b/>
      <w:bCs/>
      <w:szCs w:val="22"/>
      <w:lang w:eastAsia="it-IT" w:bidi="ar-SA"/>
    </w:rPr>
  </w:style>
  <w:style w:type="paragraph" w:styleId="Titolo8">
    <w:name w:val="heading 8"/>
    <w:basedOn w:val="Normale"/>
    <w:next w:val="Normale"/>
    <w:link w:val="Titolo8Carattere"/>
    <w:unhideWhenUsed/>
    <w:qFormat/>
    <w:locked/>
    <w:pPr>
      <w:keepNext/>
      <w:keepLines/>
      <w:suppressAutoHyphens w:val="0"/>
      <w:spacing w:before="200"/>
      <w:outlineLvl w:val="7"/>
    </w:pPr>
    <w:rPr>
      <w:rFonts w:asciiTheme="majorHAnsi" w:eastAsiaTheme="majorEastAsia" w:hAnsiTheme="majorHAnsi" w:cstheme="majorBidi"/>
      <w:color w:val="404040" w:themeColor="text1" w:themeTint="BF"/>
      <w:sz w:val="20"/>
      <w:lang w:eastAsia="it-IT" w:bidi="ar-SA"/>
    </w:rPr>
  </w:style>
  <w:style w:type="paragraph" w:styleId="Titolo9">
    <w:name w:val="heading 9"/>
    <w:basedOn w:val="Normale"/>
    <w:next w:val="Normale"/>
    <w:link w:val="Titolo9Carattere"/>
    <w:unhideWhenUsed/>
    <w:qFormat/>
    <w:locked/>
    <w:pPr>
      <w:keepNext/>
      <w:keepLines/>
      <w:suppressAutoHyphens w:val="0"/>
      <w:spacing w:before="200"/>
      <w:outlineLvl w:val="8"/>
    </w:pPr>
    <w:rPr>
      <w:rFonts w:asciiTheme="majorHAnsi" w:eastAsiaTheme="majorEastAsia" w:hAnsiTheme="majorHAnsi" w:cstheme="majorBidi"/>
      <w:i/>
      <w:iCs/>
      <w:color w:val="404040" w:themeColor="text1" w:themeTint="BF"/>
      <w:sz w:val="20"/>
      <w:lang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uiPriority w:val="99"/>
    <w:qFormat/>
    <w:pPr>
      <w:spacing w:before="0"/>
    </w:pPr>
    <w:rPr>
      <w:rFonts w:ascii="Lucida Grande" w:hAnsi="Lucida Grande" w:cs="Lucida Grande"/>
      <w:sz w:val="18"/>
      <w:szCs w:val="18"/>
    </w:rPr>
  </w:style>
  <w:style w:type="paragraph" w:styleId="Corpodeltesto2">
    <w:name w:val="Body Text 2"/>
    <w:basedOn w:val="Normale"/>
    <w:link w:val="Corpodeltesto2Carattere"/>
    <w:uiPriority w:val="99"/>
    <w:qFormat/>
    <w:pPr>
      <w:suppressAutoHyphens w:val="0"/>
      <w:spacing w:before="0" w:after="120" w:line="480" w:lineRule="auto"/>
    </w:pPr>
    <w:rPr>
      <w:rFonts w:ascii="Times New Roman" w:hAnsi="Times New Roman" w:cs="Times New Roman"/>
      <w:sz w:val="20"/>
      <w:lang w:eastAsia="it-IT" w:bidi="ar-SA"/>
    </w:rPr>
  </w:style>
  <w:style w:type="paragraph" w:styleId="Didascalia">
    <w:name w:val="caption"/>
    <w:basedOn w:val="Normale"/>
    <w:next w:val="Normale"/>
    <w:uiPriority w:val="35"/>
    <w:qFormat/>
    <w:locked/>
    <w:pPr>
      <w:suppressAutoHyphens w:val="0"/>
      <w:spacing w:before="0"/>
    </w:pPr>
    <w:rPr>
      <w:rFonts w:ascii="Times New Roman" w:hAnsi="Times New Roman" w:cs="Times New Roman"/>
      <w:b/>
      <w:bCs/>
      <w:sz w:val="20"/>
      <w:lang w:eastAsia="it-IT" w:bidi="ar-SA"/>
    </w:rPr>
  </w:style>
  <w:style w:type="paragraph" w:styleId="Testocommento">
    <w:name w:val="annotation text"/>
    <w:basedOn w:val="Normale"/>
    <w:link w:val="TestocommentoCarattere"/>
    <w:uiPriority w:val="99"/>
    <w:qFormat/>
    <w:rPr>
      <w:rFonts w:cs="Mangal"/>
      <w:sz w:val="20"/>
      <w:szCs w:val="18"/>
    </w:rPr>
  </w:style>
  <w:style w:type="paragraph" w:styleId="Soggettocommento">
    <w:name w:val="annotation subject"/>
    <w:basedOn w:val="Testocommento"/>
    <w:next w:val="Testocommento"/>
    <w:link w:val="SoggettocommentoCarattere"/>
    <w:uiPriority w:val="99"/>
    <w:qFormat/>
    <w:rPr>
      <w:b/>
      <w:bCs/>
    </w:rPr>
  </w:style>
  <w:style w:type="paragraph" w:styleId="Mappadocumento">
    <w:name w:val="Document Map"/>
    <w:basedOn w:val="Normale"/>
    <w:link w:val="MappadocumentoCarattere"/>
    <w:qFormat/>
    <w:pPr>
      <w:suppressAutoHyphens w:val="0"/>
      <w:spacing w:before="0"/>
    </w:pPr>
    <w:rPr>
      <w:rFonts w:ascii="Lucida Grande" w:eastAsia="ヒラギノ角ゴ Pro W3" w:hAnsi="Lucida Grande" w:cs="Lucida Grande"/>
      <w:color w:val="000000"/>
      <w:sz w:val="24"/>
      <w:szCs w:val="24"/>
      <w:lang w:eastAsia="en-US" w:bidi="ar-SA"/>
    </w:rPr>
  </w:style>
  <w:style w:type="paragraph" w:styleId="Pidipagina">
    <w:name w:val="footer"/>
    <w:basedOn w:val="Normale"/>
    <w:uiPriority w:val="99"/>
    <w:qFormat/>
    <w:pPr>
      <w:suppressLineNumbers/>
      <w:tabs>
        <w:tab w:val="center" w:pos="4513"/>
        <w:tab w:val="right" w:pos="9026"/>
      </w:tabs>
      <w:spacing w:before="0"/>
    </w:pPr>
  </w:style>
  <w:style w:type="paragraph" w:styleId="Testonotaapidipagina">
    <w:name w:val="footnote text"/>
    <w:basedOn w:val="Normale"/>
    <w:link w:val="TestonotaapidipaginaCarattere"/>
    <w:uiPriority w:val="99"/>
    <w:qFormat/>
    <w:pPr>
      <w:spacing w:before="0"/>
    </w:pPr>
    <w:rPr>
      <w:rFonts w:cs="Mangal"/>
      <w:sz w:val="20"/>
      <w:szCs w:val="18"/>
    </w:rPr>
  </w:style>
  <w:style w:type="paragraph" w:styleId="Intestazione">
    <w:name w:val="header"/>
    <w:basedOn w:val="Normale"/>
    <w:link w:val="IntestazioneCarattere1"/>
    <w:pPr>
      <w:suppressLineNumbers/>
      <w:tabs>
        <w:tab w:val="center" w:pos="4513"/>
        <w:tab w:val="right" w:pos="9026"/>
      </w:tabs>
      <w:spacing w:before="0"/>
    </w:pPr>
  </w:style>
  <w:style w:type="paragraph" w:styleId="Indice1">
    <w:name w:val="index 1"/>
    <w:basedOn w:val="Normale"/>
    <w:next w:val="Normale"/>
    <w:uiPriority w:val="39"/>
    <w:locked/>
    <w:pPr>
      <w:suppressAutoHyphens w:val="0"/>
      <w:spacing w:before="360"/>
    </w:pPr>
    <w:rPr>
      <w:rFonts w:asciiTheme="majorHAnsi" w:hAnsiTheme="majorHAnsi" w:cs="Times New Roman"/>
      <w:bCs/>
      <w:sz w:val="24"/>
      <w:szCs w:val="24"/>
      <w:lang w:eastAsia="it-IT" w:bidi="ar-SA"/>
    </w:rPr>
  </w:style>
  <w:style w:type="paragraph" w:styleId="Indice2">
    <w:name w:val="index 2"/>
    <w:basedOn w:val="Normale"/>
    <w:next w:val="Normale"/>
    <w:uiPriority w:val="39"/>
    <w:locked/>
    <w:pPr>
      <w:suppressAutoHyphens w:val="0"/>
      <w:spacing w:before="240"/>
    </w:pPr>
    <w:rPr>
      <w:rFonts w:asciiTheme="minorHAnsi" w:hAnsiTheme="minorHAnsi" w:cstheme="minorHAnsi"/>
      <w:b/>
      <w:bCs/>
      <w:sz w:val="20"/>
      <w:lang w:eastAsia="it-IT" w:bidi="ar-SA"/>
    </w:rPr>
  </w:style>
  <w:style w:type="paragraph" w:styleId="Indice3">
    <w:name w:val="index 3"/>
    <w:basedOn w:val="Normale"/>
    <w:next w:val="Normale"/>
    <w:uiPriority w:val="39"/>
    <w:locked/>
    <w:pPr>
      <w:suppressAutoHyphens w:val="0"/>
      <w:spacing w:before="0"/>
      <w:ind w:left="200"/>
    </w:pPr>
    <w:rPr>
      <w:rFonts w:asciiTheme="minorHAnsi" w:hAnsiTheme="minorHAnsi" w:cstheme="minorHAnsi"/>
      <w:sz w:val="20"/>
      <w:lang w:eastAsia="it-IT" w:bidi="ar-SA"/>
    </w:rPr>
  </w:style>
  <w:style w:type="paragraph" w:styleId="Indice4">
    <w:name w:val="index 4"/>
    <w:basedOn w:val="Normale"/>
    <w:next w:val="Normale"/>
    <w:uiPriority w:val="39"/>
    <w:unhideWhenUsed/>
    <w:locked/>
    <w:pPr>
      <w:suppressAutoHyphens w:val="0"/>
      <w:spacing w:before="0"/>
      <w:ind w:left="400"/>
    </w:pPr>
    <w:rPr>
      <w:rFonts w:asciiTheme="minorHAnsi" w:hAnsiTheme="minorHAnsi" w:cstheme="minorHAnsi"/>
      <w:sz w:val="20"/>
      <w:lang w:eastAsia="it-IT" w:bidi="ar-SA"/>
    </w:rPr>
  </w:style>
  <w:style w:type="paragraph" w:styleId="Indice5">
    <w:name w:val="index 5"/>
    <w:basedOn w:val="Normale"/>
    <w:next w:val="Normale"/>
    <w:uiPriority w:val="39"/>
    <w:unhideWhenUsed/>
    <w:locked/>
    <w:pPr>
      <w:suppressAutoHyphens w:val="0"/>
      <w:spacing w:before="0"/>
      <w:ind w:left="600"/>
    </w:pPr>
    <w:rPr>
      <w:rFonts w:asciiTheme="minorHAnsi" w:hAnsiTheme="minorHAnsi" w:cstheme="minorHAnsi"/>
      <w:sz w:val="20"/>
      <w:lang w:eastAsia="it-IT" w:bidi="ar-SA"/>
    </w:rPr>
  </w:style>
  <w:style w:type="paragraph" w:styleId="Indice6">
    <w:name w:val="index 6"/>
    <w:basedOn w:val="Normale"/>
    <w:next w:val="Normale"/>
    <w:uiPriority w:val="39"/>
    <w:unhideWhenUsed/>
    <w:locked/>
    <w:pPr>
      <w:suppressAutoHyphens w:val="0"/>
      <w:spacing w:before="0"/>
      <w:ind w:left="800"/>
    </w:pPr>
    <w:rPr>
      <w:rFonts w:asciiTheme="minorHAnsi" w:hAnsiTheme="minorHAnsi" w:cstheme="minorHAnsi"/>
      <w:sz w:val="20"/>
      <w:lang w:eastAsia="it-IT" w:bidi="ar-SA"/>
    </w:rPr>
  </w:style>
  <w:style w:type="paragraph" w:styleId="Indice7">
    <w:name w:val="index 7"/>
    <w:basedOn w:val="Normale"/>
    <w:next w:val="Normale"/>
    <w:uiPriority w:val="39"/>
    <w:unhideWhenUsed/>
    <w:locked/>
    <w:pPr>
      <w:suppressAutoHyphens w:val="0"/>
      <w:spacing w:before="0"/>
      <w:ind w:left="1000"/>
    </w:pPr>
    <w:rPr>
      <w:rFonts w:asciiTheme="minorHAnsi" w:hAnsiTheme="minorHAnsi" w:cstheme="minorHAnsi"/>
      <w:sz w:val="20"/>
      <w:lang w:eastAsia="it-IT" w:bidi="ar-SA"/>
    </w:rPr>
  </w:style>
  <w:style w:type="paragraph" w:styleId="Indice8">
    <w:name w:val="index 8"/>
    <w:basedOn w:val="Normale"/>
    <w:next w:val="Normale"/>
    <w:uiPriority w:val="39"/>
    <w:unhideWhenUsed/>
    <w:locked/>
    <w:pPr>
      <w:suppressAutoHyphens w:val="0"/>
      <w:spacing w:before="0"/>
      <w:ind w:left="1200"/>
    </w:pPr>
    <w:rPr>
      <w:rFonts w:asciiTheme="minorHAnsi" w:hAnsiTheme="minorHAnsi" w:cstheme="minorHAnsi"/>
      <w:sz w:val="20"/>
      <w:lang w:eastAsia="it-IT" w:bidi="ar-SA"/>
    </w:rPr>
  </w:style>
  <w:style w:type="paragraph" w:styleId="Indice9">
    <w:name w:val="index 9"/>
    <w:basedOn w:val="Normale"/>
    <w:next w:val="Normale"/>
    <w:uiPriority w:val="39"/>
    <w:unhideWhenUsed/>
    <w:locked/>
    <w:pPr>
      <w:suppressAutoHyphens w:val="0"/>
      <w:spacing w:before="0"/>
      <w:ind w:left="1400"/>
    </w:pPr>
    <w:rPr>
      <w:rFonts w:asciiTheme="minorHAnsi" w:hAnsiTheme="minorHAnsi" w:cstheme="minorHAnsi"/>
      <w:sz w:val="20"/>
      <w:lang w:eastAsia="it-IT" w:bidi="ar-SA"/>
    </w:rPr>
  </w:style>
  <w:style w:type="paragraph" w:styleId="Elenco">
    <w:name w:val="List"/>
    <w:basedOn w:val="Corpodeltesto"/>
  </w:style>
  <w:style w:type="paragraph" w:customStyle="1" w:styleId="Corpodeltesto">
    <w:name w:val="Corpo del testo"/>
    <w:basedOn w:val="Normale"/>
    <w:link w:val="CorpotestoCarattere"/>
    <w:uiPriority w:val="99"/>
    <w:pPr>
      <w:spacing w:before="0" w:after="120"/>
    </w:pPr>
  </w:style>
  <w:style w:type="paragraph" w:styleId="NormaleWeb">
    <w:name w:val="Normal (Web)"/>
    <w:basedOn w:val="Normale"/>
    <w:link w:val="NormaleWebCarattere"/>
    <w:uiPriority w:val="99"/>
    <w:qFormat/>
    <w:pPr>
      <w:suppressAutoHyphens w:val="0"/>
      <w:spacing w:beforeAutospacing="1" w:afterAutospacing="1"/>
    </w:pPr>
    <w:rPr>
      <w:rFonts w:ascii="Times New Roman" w:hAnsi="Times New Roman" w:cs="Times New Roman"/>
      <w:sz w:val="24"/>
      <w:szCs w:val="24"/>
      <w:lang w:eastAsia="it-IT" w:bidi="ar-SA"/>
    </w:rPr>
  </w:style>
  <w:style w:type="paragraph" w:styleId="Testonormale">
    <w:name w:val="Plain Text"/>
    <w:basedOn w:val="Normale"/>
    <w:link w:val="TestonormaleCarattere"/>
    <w:uiPriority w:val="99"/>
    <w:qFormat/>
    <w:pPr>
      <w:suppressAutoHyphens w:val="0"/>
      <w:spacing w:before="0"/>
    </w:pPr>
    <w:rPr>
      <w:rFonts w:ascii="Courier New" w:hAnsi="Courier New" w:cs="Times New Roman"/>
      <w:sz w:val="20"/>
      <w:lang w:val="zh-CN" w:eastAsia="zh-CN" w:bidi="ar-SA"/>
    </w:rPr>
  </w:style>
  <w:style w:type="paragraph" w:styleId="Sottotitolo">
    <w:name w:val="Subtitle"/>
    <w:basedOn w:val="Intestazione1"/>
    <w:link w:val="SottotitoloCarattere"/>
    <w:uiPriority w:val="11"/>
    <w:qFormat/>
    <w:pPr>
      <w:jc w:val="center"/>
    </w:pPr>
    <w:rPr>
      <w:i/>
    </w:rPr>
  </w:style>
  <w:style w:type="paragraph" w:customStyle="1" w:styleId="Intestazione1">
    <w:name w:val="Intestazione1"/>
    <w:basedOn w:val="Normale"/>
    <w:qFormat/>
    <w:pPr>
      <w:keepNext/>
      <w:spacing w:before="240" w:after="120"/>
    </w:pPr>
    <w:rPr>
      <w:rFonts w:ascii="Arial" w:hAnsi="Arial" w:cs="Arial"/>
      <w:sz w:val="28"/>
    </w:rPr>
  </w:style>
  <w:style w:type="paragraph" w:styleId="Titolo">
    <w:name w:val="Title"/>
    <w:basedOn w:val="Normale"/>
    <w:next w:val="Corpodeltesto"/>
    <w:qFormat/>
    <w:pPr>
      <w:keepNext/>
      <w:spacing w:before="240" w:after="120"/>
    </w:pPr>
    <w:rPr>
      <w:rFonts w:ascii="Liberation Sans" w:eastAsia="Microsoft YaHei" w:hAnsi="Liberation Sans" w:cs="Mangal"/>
      <w:sz w:val="28"/>
      <w:szCs w:val="28"/>
    </w:rPr>
  </w:style>
  <w:style w:type="paragraph" w:styleId="Titoloindicefonti">
    <w:name w:val="toa heading"/>
    <w:basedOn w:val="Normale"/>
    <w:next w:val="Normale"/>
    <w:qFormat/>
    <w:pPr>
      <w:keepNext/>
      <w:suppressLineNumbers/>
      <w:spacing w:before="240" w:after="120"/>
      <w:jc w:val="center"/>
    </w:pPr>
    <w:rPr>
      <w:rFonts w:ascii="Liberation Sans" w:eastAsia="Microsoft YaHei" w:hAnsi="Liberation Sans" w:cs="Mangal"/>
      <w:b/>
      <w:bCs/>
      <w:sz w:val="32"/>
      <w:szCs w:val="32"/>
      <w:lang w:eastAsia="zh-CN" w:bidi="ar-SA"/>
    </w:rPr>
  </w:style>
  <w:style w:type="paragraph" w:styleId="Sommario1">
    <w:name w:val="toc 1"/>
    <w:basedOn w:val="Normale"/>
    <w:next w:val="Normale"/>
    <w:uiPriority w:val="39"/>
    <w:unhideWhenUsed/>
    <w:locked/>
    <w:pPr>
      <w:tabs>
        <w:tab w:val="right" w:leader="dot" w:pos="10196"/>
      </w:tabs>
      <w:spacing w:after="100"/>
      <w:ind w:left="708"/>
    </w:pPr>
    <w:rPr>
      <w:rFonts w:cs="Mangal"/>
    </w:rPr>
  </w:style>
  <w:style w:type="paragraph" w:styleId="Sommario2">
    <w:name w:val="toc 2"/>
    <w:basedOn w:val="Normale"/>
    <w:next w:val="Normale"/>
    <w:uiPriority w:val="39"/>
    <w:unhideWhenUsed/>
    <w:locked/>
    <w:pPr>
      <w:tabs>
        <w:tab w:val="right" w:leader="dot" w:pos="10196"/>
      </w:tabs>
      <w:spacing w:after="100"/>
    </w:pPr>
    <w:rPr>
      <w:rFonts w:cs="Mangal"/>
    </w:rPr>
  </w:style>
  <w:style w:type="character" w:styleId="Rimandocommento">
    <w:name w:val="annotation reference"/>
    <w:uiPriority w:val="99"/>
    <w:qFormat/>
    <w:rPr>
      <w:rFonts w:cs="Times New Roman"/>
      <w:sz w:val="16"/>
      <w:szCs w:val="16"/>
    </w:rPr>
  </w:style>
  <w:style w:type="character" w:styleId="Rimandonotadichiusura">
    <w:name w:val="endnote reference"/>
    <w:basedOn w:val="Carpredefinitoparagrafo"/>
    <w:qFormat/>
    <w:rPr>
      <w:vertAlign w:val="superscript"/>
    </w:rPr>
  </w:style>
  <w:style w:type="character" w:styleId="Collegamentovisitato">
    <w:name w:val="FollowedHyperlink"/>
    <w:basedOn w:val="Carpredefinitoparagrafo"/>
    <w:qFormat/>
    <w:rPr>
      <w:color w:val="954F72" w:themeColor="followedHyperlink"/>
      <w:u w:val="single"/>
    </w:rPr>
  </w:style>
  <w:style w:type="character" w:styleId="Rimandonotaapidipagina">
    <w:name w:val="footnote reference"/>
    <w:uiPriority w:val="99"/>
    <w:qFormat/>
    <w:rPr>
      <w:rFonts w:cs="Times New Roman"/>
      <w:vertAlign w:val="superscript"/>
    </w:rPr>
  </w:style>
  <w:style w:type="character" w:styleId="Collegamentoipertestuale">
    <w:name w:val="Hyperlink"/>
    <w:basedOn w:val="Carpredefinitoparagrafo"/>
    <w:uiPriority w:val="99"/>
    <w:unhideWhenUsed/>
    <w:qFormat/>
    <w:rPr>
      <w:color w:val="0563C1" w:themeColor="hyperlink"/>
      <w:u w:val="single"/>
    </w:rPr>
  </w:style>
  <w:style w:type="character" w:styleId="Numeropagina">
    <w:name w:val="page number"/>
    <w:basedOn w:val="Carpredefinitoparagrafo"/>
    <w:qFormat/>
  </w:style>
  <w:style w:type="character" w:styleId="Enfasigrassetto">
    <w:name w:val="Strong"/>
    <w:uiPriority w:val="22"/>
    <w:qFormat/>
    <w:rPr>
      <w:b/>
    </w:rPr>
  </w:style>
  <w:style w:type="table" w:styleId="Grigliatabella">
    <w:name w:val="Table Grid"/>
    <w:basedOn w:val="Tabellanormal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Elencochiaro-Colore5">
    <w:name w:val="Light List Accent 5"/>
    <w:basedOn w:val="Tabellanormale"/>
    <w:uiPriority w:val="61"/>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Grigliachiara-Colore5">
    <w:name w:val="Light Grid Accent 5"/>
    <w:basedOn w:val="Tabellanormale"/>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b/>
        <w:bCs/>
      </w:rPr>
    </w:tblStylePr>
    <w:tblStylePr w:type="lastCol">
      <w:rPr>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Sfondomedio1-Colore3">
    <w:name w:val="Medium Shading 1 Accent 3"/>
    <w:basedOn w:val="Tabellanormale"/>
    <w:uiPriority w:val="63"/>
    <w:qFormat/>
    <w:rPr>
      <w:rFonts w:asciiTheme="minorHAnsi" w:eastAsiaTheme="minorHAnsi" w:hAnsiTheme="minorHAnsi" w:cstheme="minorBidi"/>
      <w:sz w:val="22"/>
      <w:szCs w:val="22"/>
      <w:lang w:eastAsia="en-US"/>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qFormat/>
    <w:tblPr>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Elencomedio1-Colore5">
    <w:name w:val="Medium List 1 Accent 5"/>
    <w:basedOn w:val="Tabellanormale"/>
    <w:uiPriority w:val="65"/>
    <w:qFormat/>
    <w:rPr>
      <w:color w:val="000000" w:themeColor="text1"/>
    </w:rPr>
    <w:tblPr>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Elencomedio2-Colore5">
    <w:name w:val="Medium List 2 Accent 5"/>
    <w:basedOn w:val="Tabellanormale"/>
    <w:uiPriority w:val="66"/>
    <w:qFormat/>
    <w:rPr>
      <w:rFonts w:asciiTheme="majorHAnsi" w:eastAsiaTheme="majorEastAsia" w:hAnsiTheme="majorHAnsi" w:cstheme="majorBidi"/>
      <w:color w:val="000000" w:themeColor="text1"/>
    </w:rPr>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Calibri" w:hAnsi="Calibri"/>
      <w:sz w:val="22"/>
    </w:rPr>
  </w:style>
  <w:style w:type="character" w:customStyle="1" w:styleId="WW8Num2z1">
    <w:name w:val="WW8Num2z1"/>
    <w:qFormat/>
    <w:rPr>
      <w:rFonts w:ascii="Courier New" w:hAnsi="Courier New"/>
      <w:color w:val="000000"/>
      <w:sz w:val="22"/>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olor w:val="000000"/>
      <w:sz w:val="22"/>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color w:val="000000"/>
      <w:sz w:val="22"/>
    </w:rPr>
  </w:style>
  <w:style w:type="character" w:customStyle="1" w:styleId="WW8Num4z1">
    <w:name w:val="WW8Num4z1"/>
    <w:qFormat/>
    <w:rPr>
      <w:color w:val="000000"/>
      <w:sz w:val="22"/>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sz w:val="22"/>
    </w:rPr>
  </w:style>
  <w:style w:type="character" w:customStyle="1" w:styleId="WW8Num5z1">
    <w:name w:val="WW8Num5z1"/>
    <w:qFormat/>
    <w:rPr>
      <w:rFonts w:ascii="MS Gothic" w:eastAsia="MS Gothic" w:hAnsi="MS Gothic"/>
      <w:sz w:val="22"/>
    </w:rPr>
  </w:style>
  <w:style w:type="character" w:customStyle="1" w:styleId="WW8Num5z2">
    <w:name w:val="WW8Num5z2"/>
    <w:qFormat/>
  </w:style>
  <w:style w:type="character" w:customStyle="1" w:styleId="WW8Num6z0">
    <w:name w:val="WW8Num6z0"/>
    <w:qFormat/>
    <w:rPr>
      <w:rFonts w:ascii="Wingdings" w:hAnsi="Wingdings"/>
      <w:b/>
      <w:color w:val="000000"/>
      <w:sz w:val="22"/>
    </w:rPr>
  </w:style>
  <w:style w:type="character" w:customStyle="1" w:styleId="WW8Num7z0">
    <w:name w:val="WW8Num7z0"/>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10z0">
    <w:name w:val="WW8Num10z0"/>
    <w:qFormat/>
    <w:rPr>
      <w:rFonts w:ascii="Wingdings" w:hAnsi="Wingdings"/>
      <w:sz w:val="22"/>
    </w:rPr>
  </w:style>
  <w:style w:type="character" w:customStyle="1" w:styleId="WW8Num11z0">
    <w:name w:val="WW8Num11z0"/>
    <w:qFormat/>
    <w:rPr>
      <w:rFonts w:ascii="Symbol" w:hAnsi="Symbol"/>
      <w:b/>
      <w:sz w:val="22"/>
    </w:rPr>
  </w:style>
  <w:style w:type="character" w:customStyle="1" w:styleId="WW8Num12z0">
    <w:name w:val="WW8Num12z0"/>
    <w:qFormat/>
    <w:rPr>
      <w:rFonts w:ascii="Symbol" w:hAnsi="Symbol"/>
      <w:sz w:val="22"/>
    </w:rPr>
  </w:style>
  <w:style w:type="character" w:customStyle="1" w:styleId="WW8Num13z0">
    <w:name w:val="WW8Num13z0"/>
    <w:qFormat/>
    <w:rPr>
      <w:rFonts w:ascii="Symbol" w:hAnsi="Symbol"/>
    </w:rPr>
  </w:style>
  <w:style w:type="character" w:customStyle="1" w:styleId="WW8Num14z0">
    <w:name w:val="WW8Num14z0"/>
    <w:qFormat/>
    <w:rPr>
      <w:rFonts w:ascii="Symbol" w:hAnsi="Symbol"/>
      <w:b/>
      <w:sz w:val="24"/>
      <w:lang w:val="it-IT" w:eastAsia="he-IL" w:bidi="he-IL"/>
    </w:rPr>
  </w:style>
  <w:style w:type="character" w:customStyle="1" w:styleId="WW8Num15z0">
    <w:name w:val="WW8Num15z0"/>
    <w:qFormat/>
    <w:rPr>
      <w:rFonts w:ascii="Symbol" w:eastAsia="MS Gothic" w:hAnsi="Symbol"/>
      <w:sz w:val="22"/>
    </w:rPr>
  </w:style>
  <w:style w:type="character" w:customStyle="1" w:styleId="WW8Num16z0">
    <w:name w:val="WW8Num16z0"/>
    <w:qFormat/>
    <w:rPr>
      <w:rFonts w:ascii="Wingdings" w:hAnsi="Wingdings"/>
      <w:b/>
      <w:sz w:val="22"/>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Wingdings" w:hAnsi="Wingdings"/>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rPr>
      <w:color w:val="000000"/>
      <w:sz w:val="22"/>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1z1">
    <w:name w:val="WW8Num11z1"/>
    <w:qFormat/>
    <w:rPr>
      <w:rFonts w:ascii="MS Gothic" w:eastAsia="MS Gothic" w:hAnsi="MS Gothic"/>
      <w:sz w:val="22"/>
    </w:rPr>
  </w:style>
  <w:style w:type="character" w:customStyle="1" w:styleId="WW8Num11z2">
    <w:name w:val="WW8Num11z2"/>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8z0">
    <w:name w:val="WW8Num18z0"/>
    <w:qFormat/>
  </w:style>
  <w:style w:type="character" w:customStyle="1" w:styleId="WW8Num19z0">
    <w:name w:val="WW8Num19z0"/>
    <w:qFormat/>
    <w:rPr>
      <w:b/>
    </w:rPr>
  </w:style>
  <w:style w:type="character" w:customStyle="1" w:styleId="WW8Num20z0">
    <w:name w:val="WW8Num20z0"/>
    <w:qFormat/>
    <w:rPr>
      <w:b/>
    </w:rPr>
  </w:style>
  <w:style w:type="character" w:customStyle="1" w:styleId="WW8Num21z0">
    <w:name w:val="WW8Num21z0"/>
    <w:qFormat/>
    <w:rPr>
      <w:b/>
    </w:rPr>
  </w:style>
  <w:style w:type="character" w:customStyle="1" w:styleId="WW8Num22z0">
    <w:name w:val="WW8Num22z0"/>
    <w:qFormat/>
    <w:rPr>
      <w:rFonts w:ascii="Helvetica" w:hAnsi="Helvetica"/>
      <w:b/>
      <w:sz w:val="22"/>
      <w:lang w:val="it-IT" w:eastAsia="he-IL" w:bidi="he-IL"/>
    </w:rPr>
  </w:style>
  <w:style w:type="character" w:customStyle="1" w:styleId="WW8Num23z0">
    <w:name w:val="WW8Num23z0"/>
    <w:qFormat/>
    <w:rPr>
      <w:rFonts w:ascii="Courier New" w:eastAsia="MS Gothic" w:hAnsi="Courier New"/>
      <w:b/>
      <w:sz w:val="24"/>
      <w:lang w:val="it-IT" w:eastAsia="he-IL" w:bidi="he-IL"/>
    </w:rPr>
  </w:style>
  <w:style w:type="character" w:customStyle="1" w:styleId="WW8Num24z0">
    <w:name w:val="WW8Num24z0"/>
    <w:qFormat/>
    <w:rPr>
      <w:rFonts w:ascii="Symbol" w:eastAsia="MS Gothic" w:hAnsi="Symbol"/>
      <w:b/>
      <w:sz w:val="22"/>
    </w:rPr>
  </w:style>
  <w:style w:type="character" w:customStyle="1" w:styleId="WW8Num24z1">
    <w:name w:val="WW8Num24z1"/>
    <w:qFormat/>
    <w:rPr>
      <w:rFonts w:ascii="Courier New" w:eastAsia="MS Gothic" w:hAnsi="Courier New"/>
      <w:sz w:val="22"/>
    </w:rPr>
  </w:style>
  <w:style w:type="character" w:customStyle="1" w:styleId="WW8Num24z2">
    <w:name w:val="WW8Num24z2"/>
    <w:qFormat/>
    <w:rPr>
      <w:rFonts w:ascii="Wingdings" w:hAnsi="Wingdings"/>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Wingdings" w:eastAsia="MS Gothic" w:hAnsi="Wingdings"/>
      <w:sz w:val="22"/>
    </w:rPr>
  </w:style>
  <w:style w:type="character" w:customStyle="1" w:styleId="WW8Num25z1">
    <w:name w:val="WW8Num25z1"/>
    <w:qFormat/>
    <w:rPr>
      <w:rFonts w:ascii="Courier New" w:hAnsi="Courier New"/>
    </w:rPr>
  </w:style>
  <w:style w:type="character" w:customStyle="1" w:styleId="WW8Num25z2">
    <w:name w:val="WW8Num25z2"/>
    <w:qFormat/>
  </w:style>
  <w:style w:type="character" w:customStyle="1" w:styleId="WW8Num25z3">
    <w:name w:val="WW8Num25z3"/>
    <w:qFormat/>
    <w:rPr>
      <w:rFonts w:ascii="Symbol" w:hAnsi="Symbol"/>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2z1">
    <w:name w:val="WW8Num12z1"/>
    <w:qFormat/>
    <w:rPr>
      <w:rFonts w:ascii="MS Gothic" w:eastAsia="MS Gothic" w:hAnsi="MS Gothic"/>
      <w:sz w:val="22"/>
    </w:rPr>
  </w:style>
  <w:style w:type="character" w:customStyle="1" w:styleId="WW8Num12z2">
    <w:name w:val="WW8Num12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8z1">
    <w:name w:val="WW8Num18z1"/>
    <w:qFormat/>
  </w:style>
  <w:style w:type="character" w:customStyle="1" w:styleId="WW8Num18z2">
    <w:name w:val="WW8Num18z2"/>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6z0">
    <w:name w:val="WW8Num26z0"/>
    <w:qFormat/>
    <w:rPr>
      <w:sz w:val="22"/>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rPr>
  </w:style>
  <w:style w:type="character" w:customStyle="1" w:styleId="WW8Num27z1">
    <w:name w:val="WW8Num27z1"/>
    <w:qFormat/>
    <w:rPr>
      <w:rFonts w:ascii="Courier New" w:hAnsi="Courier New"/>
    </w:rPr>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Symbol" w:hAnsi="Symbol"/>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rFonts w:ascii="Symbol" w:hAnsi="Symbol"/>
    </w:rPr>
  </w:style>
  <w:style w:type="character" w:customStyle="1" w:styleId="WW8Num29z1">
    <w:name w:val="WW8Num29z1"/>
    <w:qFormat/>
    <w:rPr>
      <w:rFonts w:ascii="Courier New" w:hAnsi="Courier New"/>
    </w:rPr>
  </w:style>
  <w:style w:type="character" w:customStyle="1" w:styleId="WW8Num29z2">
    <w:name w:val="WW8Num29z2"/>
    <w:qFormat/>
    <w:rPr>
      <w:rFonts w:ascii="Wingdings" w:hAnsi="Wingdings"/>
    </w:rPr>
  </w:style>
  <w:style w:type="character" w:customStyle="1" w:styleId="WW8Num30z0">
    <w:name w:val="WW8Num30z0"/>
    <w:qFormat/>
    <w:rPr>
      <w:rFonts w:ascii="Symbol" w:hAnsi="Symbol"/>
    </w:rPr>
  </w:style>
  <w:style w:type="character" w:customStyle="1" w:styleId="WW8Num30z1">
    <w:name w:val="WW8Num30z1"/>
    <w:qFormat/>
    <w:rPr>
      <w:rFonts w:ascii="Courier New" w:hAnsi="Courier New"/>
    </w:rPr>
  </w:style>
  <w:style w:type="character" w:customStyle="1" w:styleId="WW8Num30z2">
    <w:name w:val="WW8Num30z2"/>
    <w:qFormat/>
    <w:rPr>
      <w:rFonts w:ascii="Wingdings" w:hAnsi="Wingdings"/>
    </w:rPr>
  </w:style>
  <w:style w:type="character" w:customStyle="1" w:styleId="WW8Num31z0">
    <w:name w:val="WW8Num31z0"/>
    <w:qFormat/>
    <w:rPr>
      <w:sz w:val="22"/>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sz w:val="22"/>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Symbol" w:hAnsi="Symbol"/>
    </w:rPr>
  </w:style>
  <w:style w:type="character" w:customStyle="1" w:styleId="WW8Num34z1">
    <w:name w:val="WW8Num34z1"/>
    <w:qFormat/>
    <w:rPr>
      <w:rFonts w:ascii="Symbol" w:hAnsi="Symbol"/>
    </w:rPr>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Courier New" w:hAnsi="Courier New"/>
    </w:rPr>
  </w:style>
  <w:style w:type="character" w:customStyle="1" w:styleId="WW8Num36z2">
    <w:name w:val="WW8Num36z2"/>
    <w:qFormat/>
    <w:rPr>
      <w:rFonts w:ascii="Wingdings" w:hAnsi="Wingdings"/>
    </w:rPr>
  </w:style>
  <w:style w:type="character" w:customStyle="1" w:styleId="WW8Num36z3">
    <w:name w:val="WW8Num36z3"/>
    <w:qFormat/>
    <w:rPr>
      <w:rFonts w:ascii="Symbol" w:hAnsi="Symbol"/>
    </w:rPr>
  </w:style>
  <w:style w:type="character" w:customStyle="1" w:styleId="WW8Num37z0">
    <w:name w:val="WW8Num37z0"/>
    <w:qFormat/>
    <w:rPr>
      <w:rFonts w:ascii="Symbol" w:hAnsi="Symbol"/>
    </w:rPr>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Symbol" w:hAnsi="Symbol"/>
    </w:rPr>
  </w:style>
  <w:style w:type="character" w:customStyle="1" w:styleId="WW8Num38z1">
    <w:name w:val="WW8Num38z1"/>
    <w:qFormat/>
    <w:rPr>
      <w:rFonts w:ascii="Courier New" w:hAnsi="Courier New"/>
    </w:rPr>
  </w:style>
  <w:style w:type="character" w:customStyle="1" w:styleId="WW8Num38z2">
    <w:name w:val="WW8Num38z2"/>
    <w:qFormat/>
    <w:rPr>
      <w:rFonts w:ascii="Wingdings" w:hAnsi="Wingdings"/>
    </w:rPr>
  </w:style>
  <w:style w:type="character" w:customStyle="1" w:styleId="WW8Num39z0">
    <w:name w:val="WW8Num39z0"/>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rFonts w:ascii="Symbol" w:hAnsi="Symbol"/>
    </w:rPr>
  </w:style>
  <w:style w:type="character" w:customStyle="1" w:styleId="WW8Num41z1">
    <w:name w:val="WW8Num41z1"/>
    <w:qFormat/>
    <w:rPr>
      <w:rFonts w:ascii="Courier New" w:hAnsi="Courier New"/>
    </w:rPr>
  </w:style>
  <w:style w:type="character" w:customStyle="1" w:styleId="WW8Num41z2">
    <w:name w:val="WW8Num41z2"/>
    <w:qFormat/>
    <w:rPr>
      <w:rFonts w:ascii="Wingdings" w:hAnsi="Wingdings"/>
    </w:rPr>
  </w:style>
  <w:style w:type="character" w:customStyle="1" w:styleId="WW8Num42z0">
    <w:name w:val="WW8Num42z0"/>
    <w:qFormat/>
    <w:rPr>
      <w:rFonts w:ascii="Symbol" w:hAnsi="Symbol"/>
    </w:rPr>
  </w:style>
  <w:style w:type="character" w:customStyle="1" w:styleId="WW8Num42z1">
    <w:name w:val="WW8Num42z1"/>
    <w:qFormat/>
    <w:rPr>
      <w:rFonts w:ascii="Courier New" w:hAnsi="Courier New"/>
    </w:rPr>
  </w:style>
  <w:style w:type="character" w:customStyle="1" w:styleId="WW8Num42z2">
    <w:name w:val="WW8Num42z2"/>
    <w:qFormat/>
    <w:rPr>
      <w:rFonts w:ascii="Wingdings" w:hAnsi="Wingdings"/>
    </w:rPr>
  </w:style>
  <w:style w:type="character" w:customStyle="1" w:styleId="WW8Num43z0">
    <w:name w:val="WW8Num43z0"/>
    <w:qFormat/>
    <w:rPr>
      <w:rFonts w:ascii="Symbol" w:hAnsi="Symbol"/>
    </w:rPr>
  </w:style>
  <w:style w:type="character" w:customStyle="1" w:styleId="WW8Num43z1">
    <w:name w:val="WW8Num43z1"/>
    <w:qFormat/>
    <w:rPr>
      <w:rFonts w:ascii="Courier New" w:hAnsi="Courier New"/>
    </w:rPr>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sz w:val="22"/>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sz w:val="22"/>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Symbol" w:hAnsi="Symbol"/>
    </w:rPr>
  </w:style>
  <w:style w:type="character" w:customStyle="1" w:styleId="WW8Num46z1">
    <w:name w:val="WW8Num46z1"/>
    <w:qFormat/>
    <w:rPr>
      <w:rFonts w:ascii="Courier New" w:hAnsi="Courier New"/>
    </w:rPr>
  </w:style>
  <w:style w:type="character" w:customStyle="1" w:styleId="WW8Num46z2">
    <w:name w:val="WW8Num46z2"/>
    <w:qFormat/>
    <w:rPr>
      <w:rFonts w:ascii="Wingdings" w:hAnsi="Wingdings"/>
    </w:rPr>
  </w:style>
  <w:style w:type="character" w:customStyle="1" w:styleId="WW8Num47z0">
    <w:name w:val="WW8Num47z0"/>
    <w:qFormat/>
    <w:rPr>
      <w:rFonts w:ascii="Wingdings" w:hAnsi="Wingdings"/>
    </w:rPr>
  </w:style>
  <w:style w:type="character" w:customStyle="1" w:styleId="WW8Num47z1">
    <w:name w:val="WW8Num47z1"/>
    <w:qFormat/>
    <w:rPr>
      <w:rFonts w:ascii="Courier New" w:hAnsi="Courier New"/>
    </w:rPr>
  </w:style>
  <w:style w:type="character" w:customStyle="1" w:styleId="WW8Num47z3">
    <w:name w:val="WW8Num47z3"/>
    <w:qFormat/>
    <w:rPr>
      <w:rFonts w:ascii="Symbol" w:hAnsi="Symbol"/>
    </w:rPr>
  </w:style>
  <w:style w:type="character" w:customStyle="1" w:styleId="WW8Num48z0">
    <w:name w:val="WW8Num48z0"/>
    <w:qFormat/>
    <w:rPr>
      <w:sz w:val="28"/>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rPr>
      <w:rFonts w:ascii="Courier New" w:eastAsia="MS Gothic" w:hAnsi="Courier New"/>
      <w:sz w:val="22"/>
    </w:rPr>
  </w:style>
  <w:style w:type="character" w:customStyle="1" w:styleId="WW8Num49z2">
    <w:name w:val="WW8Num49z2"/>
    <w:qFormat/>
    <w:rPr>
      <w:rFonts w:ascii="Wingdings" w:hAnsi="Wingdings"/>
    </w:rPr>
  </w:style>
  <w:style w:type="character" w:customStyle="1" w:styleId="WW8Num49z3">
    <w:name w:val="WW8Num49z3"/>
    <w:qFormat/>
    <w:rPr>
      <w:rFonts w:ascii="Symbol" w:hAnsi="Symbol"/>
    </w:rPr>
  </w:style>
  <w:style w:type="character" w:customStyle="1" w:styleId="WW8Num50z0">
    <w:name w:val="WW8Num50z0"/>
    <w:qFormat/>
    <w:rPr>
      <w:rFonts w:ascii="Symbol" w:hAnsi="Symbol"/>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Carpredefinitoparagrafo1">
    <w:name w:val="Car. predefinito paragrafo1"/>
    <w:qFormat/>
  </w:style>
  <w:style w:type="character" w:customStyle="1" w:styleId="Caratterepredefinitoparagrafo">
    <w:name w:val="Carattere predefinito paragrafo"/>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DefaultParagraphFont1">
    <w:name w:val="Default Paragraph Font1"/>
    <w:qFormat/>
  </w:style>
  <w:style w:type="character" w:customStyle="1" w:styleId="Titolo1Carattere">
    <w:name w:val="Titolo 1 Carattere"/>
    <w:uiPriority w:val="9"/>
    <w:qFormat/>
    <w:rPr>
      <w:rFonts w:ascii="Cambria" w:hAnsi="Cambria"/>
      <w:b/>
      <w:smallCaps/>
      <w:sz w:val="28"/>
    </w:rPr>
  </w:style>
  <w:style w:type="character" w:customStyle="1" w:styleId="Titolo2Carattere">
    <w:name w:val="Titolo 2 Carattere"/>
    <w:qFormat/>
    <w:rPr>
      <w:rFonts w:ascii="Cambria" w:hAnsi="Cambria"/>
      <w:b/>
      <w:smallCaps/>
      <w:sz w:val="26"/>
    </w:rPr>
  </w:style>
  <w:style w:type="character" w:customStyle="1" w:styleId="Titolo3Carattere">
    <w:name w:val="Titolo 3 Carattere"/>
    <w:uiPriority w:val="9"/>
    <w:qFormat/>
    <w:rPr>
      <w:rFonts w:ascii="Cambria" w:hAnsi="Cambria"/>
      <w:b/>
    </w:rPr>
  </w:style>
  <w:style w:type="character" w:customStyle="1" w:styleId="Titolo4Carattere">
    <w:name w:val="Titolo 4 Carattere"/>
    <w:uiPriority w:val="9"/>
    <w:qFormat/>
    <w:rPr>
      <w:rFonts w:ascii="Cambria" w:hAnsi="Cambria"/>
      <w:b/>
      <w:i/>
    </w:rPr>
  </w:style>
  <w:style w:type="character" w:customStyle="1" w:styleId="IntestazioneCarattere">
    <w:name w:val="Intestazione Carattere"/>
    <w:qFormat/>
    <w:rPr>
      <w:rFonts w:cs="Times New Roman"/>
    </w:rPr>
  </w:style>
  <w:style w:type="character" w:customStyle="1" w:styleId="PidipaginaCarattere">
    <w:name w:val="Piè di pagina Carattere"/>
    <w:uiPriority w:val="99"/>
    <w:qFormat/>
    <w:rPr>
      <w:rFonts w:cs="Times New Roman"/>
    </w:rPr>
  </w:style>
  <w:style w:type="character" w:customStyle="1" w:styleId="Numeropagina1">
    <w:name w:val="Numero pagina1"/>
    <w:qFormat/>
    <w:rPr>
      <w:rFonts w:cs="Times New Roman"/>
    </w:rPr>
  </w:style>
  <w:style w:type="character" w:customStyle="1" w:styleId="TestofumettoCarattere">
    <w:name w:val="Testo fumetto Carattere"/>
    <w:uiPriority w:val="99"/>
    <w:qFormat/>
    <w:rPr>
      <w:rFonts w:ascii="Tahoma" w:hAnsi="Tahoma"/>
      <w:sz w:val="16"/>
    </w:rPr>
  </w:style>
  <w:style w:type="character" w:customStyle="1" w:styleId="TitoloCarattere">
    <w:name w:val="Titolo Carattere"/>
    <w:qFormat/>
    <w:rPr>
      <w:rFonts w:ascii="Cambria" w:hAnsi="Cambria"/>
      <w:color w:val="000080"/>
      <w:spacing w:val="5"/>
      <w:sz w:val="52"/>
    </w:rPr>
  </w:style>
  <w:style w:type="character" w:customStyle="1" w:styleId="Enfasi">
    <w:name w:val="Enfasi"/>
    <w:uiPriority w:val="20"/>
    <w:qFormat/>
    <w:rPr>
      <w:i/>
    </w:rPr>
  </w:style>
  <w:style w:type="character" w:customStyle="1" w:styleId="CollegamentoInternet">
    <w:name w:val="Collegamento Internet"/>
    <w:uiPriority w:val="99"/>
    <w:qFormat/>
    <w:rPr>
      <w:rFonts w:cs="Times New Roman"/>
      <w:color w:val="0000FF"/>
      <w:u w:val="single"/>
    </w:rPr>
  </w:style>
  <w:style w:type="character" w:customStyle="1" w:styleId="ListLabel1">
    <w:name w:val="ListLabel 1"/>
    <w:qFormat/>
  </w:style>
  <w:style w:type="character" w:customStyle="1" w:styleId="ListLabel2">
    <w:name w:val="ListLabel 2"/>
    <w:qFormat/>
  </w:style>
  <w:style w:type="character" w:customStyle="1" w:styleId="ListLabel3">
    <w:name w:val="ListLabel 3"/>
    <w:qFormat/>
    <w:rPr>
      <w:color w:val="000000"/>
      <w:sz w:val="20"/>
    </w:rPr>
  </w:style>
  <w:style w:type="character" w:customStyle="1" w:styleId="ListLabel4">
    <w:name w:val="ListLabel 4"/>
    <w:qFormat/>
  </w:style>
  <w:style w:type="character" w:customStyle="1" w:styleId="Punti">
    <w:name w:val="Punti"/>
    <w:qFormat/>
    <w:rPr>
      <w:rFonts w:ascii="OpenSymbol" w:hAnsi="OpenSymbol"/>
    </w:rPr>
  </w:style>
  <w:style w:type="character" w:customStyle="1" w:styleId="Caratteredinumerazione">
    <w:name w:val="Carattere di numerazione"/>
    <w:qFormat/>
  </w:style>
  <w:style w:type="character" w:customStyle="1" w:styleId="TestofumettoCarattere1">
    <w:name w:val="Testo fumetto Carattere1"/>
    <w:qFormat/>
    <w:rPr>
      <w:rFonts w:ascii="Lucida Grande" w:hAnsi="Lucida Grande"/>
      <w:sz w:val="18"/>
      <w:lang w:val="zh-CN" w:eastAsia="hi-IN" w:bidi="hi-IN"/>
    </w:rPr>
  </w:style>
  <w:style w:type="character" w:customStyle="1" w:styleId="IntestazioneCarattere1">
    <w:name w:val="Intestazione Carattere1"/>
    <w:link w:val="Intestazione"/>
    <w:qFormat/>
    <w:locked/>
    <w:rPr>
      <w:rFonts w:ascii="Calibri" w:hAnsi="Calibri"/>
      <w:sz w:val="22"/>
      <w:lang w:val="zh-CN" w:eastAsia="hi-IN" w:bidi="hi-IN"/>
    </w:rPr>
  </w:style>
  <w:style w:type="character" w:customStyle="1" w:styleId="TestonotaapidipaginaCarattere">
    <w:name w:val="Testo nota a piè di pagina Carattere"/>
    <w:link w:val="Testonotaapidipagina"/>
    <w:uiPriority w:val="99"/>
    <w:qFormat/>
    <w:locked/>
    <w:rPr>
      <w:rFonts w:ascii="Calibri" w:hAnsi="Calibri" w:cs="Mangal"/>
      <w:sz w:val="18"/>
      <w:szCs w:val="18"/>
      <w:lang w:val="zh-CN" w:eastAsia="hi-IN" w:bidi="hi-IN"/>
    </w:rPr>
  </w:style>
  <w:style w:type="character" w:customStyle="1" w:styleId="TestocommentoCarattere">
    <w:name w:val="Testo commento Carattere"/>
    <w:link w:val="Testocommento"/>
    <w:uiPriority w:val="99"/>
    <w:qFormat/>
    <w:locked/>
    <w:rPr>
      <w:rFonts w:ascii="Calibri" w:hAnsi="Calibri" w:cs="Mangal"/>
      <w:sz w:val="18"/>
      <w:szCs w:val="18"/>
      <w:lang w:val="zh-CN" w:eastAsia="hi-IN" w:bidi="hi-IN"/>
    </w:rPr>
  </w:style>
  <w:style w:type="character" w:customStyle="1" w:styleId="SoggettocommentoCarattere">
    <w:name w:val="Soggetto commento Carattere"/>
    <w:link w:val="Soggettocommento"/>
    <w:uiPriority w:val="99"/>
    <w:qFormat/>
    <w:locked/>
    <w:rPr>
      <w:rFonts w:ascii="Calibri" w:hAnsi="Calibri" w:cs="Mangal"/>
      <w:b/>
      <w:bCs/>
      <w:sz w:val="18"/>
      <w:szCs w:val="18"/>
      <w:lang w:val="zh-CN" w:eastAsia="hi-IN" w:bidi="hi-IN"/>
    </w:rPr>
  </w:style>
  <w:style w:type="character" w:customStyle="1" w:styleId="CorpotestoCarattere">
    <w:name w:val="Corpo testo Carattere"/>
    <w:link w:val="Corpodeltesto"/>
    <w:uiPriority w:val="99"/>
    <w:qFormat/>
    <w:locked/>
    <w:rPr>
      <w:rFonts w:ascii="Calibri" w:hAnsi="Calibri" w:cs="Calibri"/>
      <w:sz w:val="22"/>
      <w:lang w:val="zh-CN" w:eastAsia="hi-IN" w:bidi="hi-IN"/>
    </w:rPr>
  </w:style>
  <w:style w:type="character" w:customStyle="1" w:styleId="Titolo5Carattere">
    <w:name w:val="Titolo 5 Carattere"/>
    <w:basedOn w:val="Carpredefinitoparagrafo"/>
    <w:link w:val="Titolo5"/>
    <w:qFormat/>
    <w:rPr>
      <w:rFonts w:ascii="Cambria" w:hAnsi="Cambria"/>
      <w:color w:val="243F60"/>
      <w:sz w:val="22"/>
      <w:szCs w:val="22"/>
      <w:lang w:eastAsia="en-US"/>
    </w:rPr>
  </w:style>
  <w:style w:type="character" w:customStyle="1" w:styleId="Titolo6Carattere">
    <w:name w:val="Titolo 6 Carattere"/>
    <w:basedOn w:val="Carpredefinitoparagrafo"/>
    <w:link w:val="Titolo6"/>
    <w:uiPriority w:val="9"/>
    <w:qFormat/>
    <w:rPr>
      <w:b/>
      <w:bCs/>
      <w:sz w:val="22"/>
      <w:szCs w:val="22"/>
    </w:rPr>
  </w:style>
  <w:style w:type="character" w:customStyle="1" w:styleId="Titolo8Carattere">
    <w:name w:val="Titolo 8 Carattere"/>
    <w:basedOn w:val="Carpredefinitoparagrafo"/>
    <w:link w:val="Titolo8"/>
    <w:qFormat/>
    <w:rPr>
      <w:rFonts w:asciiTheme="majorHAnsi" w:eastAsiaTheme="majorEastAsia" w:hAnsiTheme="majorHAnsi" w:cstheme="majorBidi"/>
      <w:color w:val="404040" w:themeColor="text1" w:themeTint="BF"/>
    </w:rPr>
  </w:style>
  <w:style w:type="character" w:customStyle="1" w:styleId="Titolo9Carattere">
    <w:name w:val="Titolo 9 Carattere"/>
    <w:basedOn w:val="Carpredefinitoparagrafo"/>
    <w:link w:val="Titolo9"/>
    <w:qFormat/>
    <w:rPr>
      <w:rFonts w:asciiTheme="majorHAnsi" w:eastAsiaTheme="majorEastAsia" w:hAnsiTheme="majorHAnsi" w:cstheme="majorBidi"/>
      <w:i/>
      <w:iCs/>
      <w:color w:val="404040" w:themeColor="text1" w:themeTint="BF"/>
    </w:rPr>
  </w:style>
  <w:style w:type="character" w:customStyle="1" w:styleId="01TestoCarattereCarattere">
    <w:name w:val="01_Testo Carattere Carattere"/>
    <w:link w:val="01TestoCarattere"/>
    <w:qFormat/>
    <w:rPr>
      <w:color w:val="56533C"/>
      <w:sz w:val="18"/>
      <w:szCs w:val="18"/>
    </w:rPr>
  </w:style>
  <w:style w:type="paragraph" w:customStyle="1" w:styleId="01TestoCarattere">
    <w:name w:val="01_Testo Carattere"/>
    <w:basedOn w:val="Normale"/>
    <w:link w:val="01TestoCarattereCarattere"/>
    <w:qFormat/>
    <w:pPr>
      <w:widowControl w:val="0"/>
      <w:suppressAutoHyphens w:val="0"/>
      <w:spacing w:before="0" w:line="240" w:lineRule="atLeast"/>
      <w:jc w:val="both"/>
      <w:textAlignment w:val="center"/>
    </w:pPr>
    <w:rPr>
      <w:rFonts w:ascii="Times New Roman" w:hAnsi="Times New Roman" w:cs="Times New Roman"/>
      <w:color w:val="56533C"/>
      <w:sz w:val="18"/>
      <w:szCs w:val="18"/>
      <w:lang w:eastAsia="it-IT" w:bidi="ar-SA"/>
    </w:rPr>
  </w:style>
  <w:style w:type="character" w:customStyle="1" w:styleId="Corpodeltesto2Carattere">
    <w:name w:val="Corpo del testo 2 Carattere"/>
    <w:basedOn w:val="Carpredefinitoparagrafo"/>
    <w:link w:val="Corpodeltesto2"/>
    <w:uiPriority w:val="99"/>
    <w:qFormat/>
  </w:style>
  <w:style w:type="character" w:customStyle="1" w:styleId="NormaleWebCarattere">
    <w:name w:val="Normale (Web) Carattere"/>
    <w:link w:val="NormaleWeb"/>
    <w:qFormat/>
    <w:locked/>
    <w:rPr>
      <w:sz w:val="24"/>
      <w:szCs w:val="24"/>
    </w:rPr>
  </w:style>
  <w:style w:type="character" w:customStyle="1" w:styleId="Enfasiintensa1">
    <w:name w:val="Enfasi intensa1"/>
    <w:uiPriority w:val="66"/>
    <w:qFormat/>
    <w:rPr>
      <w:rFonts w:cs="Times New Roman"/>
      <w:b/>
      <w:bCs/>
      <w:i/>
      <w:iCs/>
      <w:color w:val="4F81BD"/>
    </w:rPr>
  </w:style>
  <w:style w:type="character" w:customStyle="1" w:styleId="TestonormaleCarattere">
    <w:name w:val="Testo normale Carattere"/>
    <w:basedOn w:val="Carpredefinitoparagrafo"/>
    <w:link w:val="Testonormale"/>
    <w:uiPriority w:val="99"/>
    <w:qFormat/>
    <w:rPr>
      <w:rFonts w:ascii="Courier New" w:hAnsi="Courier New"/>
      <w:lang w:val="zh-CN" w:eastAsia="zh-CN"/>
    </w:rPr>
  </w:style>
  <w:style w:type="character" w:customStyle="1" w:styleId="text1">
    <w:name w:val="text1"/>
    <w:basedOn w:val="Carpredefinitoparagrafo"/>
    <w:qFormat/>
  </w:style>
  <w:style w:type="character" w:customStyle="1" w:styleId="SottotitoloCarattere">
    <w:name w:val="Sottotitolo Carattere"/>
    <w:basedOn w:val="Carpredefinitoparagrafo"/>
    <w:link w:val="Sottotitolo"/>
    <w:uiPriority w:val="11"/>
    <w:qFormat/>
    <w:rPr>
      <w:rFonts w:ascii="Arial" w:hAnsi="Arial" w:cs="Arial"/>
      <w:i/>
      <w:sz w:val="28"/>
      <w:lang w:eastAsia="hi-IN" w:bidi="hi-IN"/>
    </w:rPr>
  </w:style>
  <w:style w:type="character" w:customStyle="1" w:styleId="il">
    <w:name w:val="il"/>
    <w:basedOn w:val="Carpredefinitoparagrafo"/>
    <w:qFormat/>
  </w:style>
  <w:style w:type="character" w:customStyle="1" w:styleId="SoggettocommentoCarattere1">
    <w:name w:val="Soggetto commento Carattere1"/>
    <w:basedOn w:val="TestocommentoCarattere"/>
    <w:qFormat/>
    <w:rPr>
      <w:rFonts w:ascii="Calibri" w:hAnsi="Calibri" w:cs="Mangal"/>
      <w:b/>
      <w:bCs/>
      <w:sz w:val="18"/>
      <w:szCs w:val="18"/>
      <w:lang w:val="zh-CN" w:eastAsia="hi-IN" w:bidi="hi-IN"/>
    </w:rPr>
  </w:style>
  <w:style w:type="character" w:customStyle="1" w:styleId="SottotitoloCarattere1">
    <w:name w:val="Sottotitolo Carattere1"/>
    <w:basedOn w:val="Carpredefinitoparagrafo"/>
    <w:qFormat/>
    <w:rPr>
      <w:rFonts w:asciiTheme="majorHAnsi" w:eastAsiaTheme="majorEastAsia" w:hAnsiTheme="majorHAnsi" w:cstheme="majorBidi"/>
      <w:i/>
      <w:iCs/>
      <w:color w:val="5B9BD5" w:themeColor="accent1"/>
      <w:spacing w:val="15"/>
      <w:sz w:val="24"/>
      <w:szCs w:val="24"/>
    </w:rPr>
  </w:style>
  <w:style w:type="character" w:customStyle="1" w:styleId="Rimandocommento1">
    <w:name w:val="Rimando commento1"/>
    <w:qFormat/>
    <w:rPr>
      <w:sz w:val="16"/>
    </w:rPr>
  </w:style>
  <w:style w:type="character" w:customStyle="1" w:styleId="testo1">
    <w:name w:val="testo1"/>
    <w:qFormat/>
    <w:rPr>
      <w:rFonts w:ascii="Verdana" w:hAnsi="Verdana"/>
      <w:color w:val="000000"/>
      <w:spacing w:val="320"/>
      <w:sz w:val="17"/>
      <w:szCs w:val="17"/>
      <w:shd w:val="clear" w:color="auto" w:fill="FFFFFF"/>
    </w:rPr>
  </w:style>
  <w:style w:type="character" w:customStyle="1" w:styleId="Iniziomodulo-zCarattere">
    <w:name w:val="Inizio modulo -z Carattere"/>
    <w:basedOn w:val="Carpredefinitoparagrafo"/>
    <w:uiPriority w:val="99"/>
    <w:qFormat/>
    <w:rPr>
      <w:rFonts w:ascii="Arial" w:hAnsi="Arial"/>
      <w:vanish/>
      <w:sz w:val="16"/>
      <w:szCs w:val="16"/>
      <w:lang w:eastAsia="hi-IN"/>
    </w:rPr>
  </w:style>
  <w:style w:type="character" w:customStyle="1" w:styleId="Finemodulo-zCarattere">
    <w:name w:val="Fine modulo -z Carattere"/>
    <w:basedOn w:val="Carpredefinitoparagrafo"/>
    <w:uiPriority w:val="99"/>
    <w:qFormat/>
    <w:rPr>
      <w:rFonts w:ascii="Arial" w:hAnsi="Arial"/>
      <w:vanish/>
      <w:sz w:val="16"/>
      <w:szCs w:val="16"/>
      <w:lang w:eastAsia="hi-IN"/>
    </w:rPr>
  </w:style>
  <w:style w:type="character" w:customStyle="1" w:styleId="userformat3">
    <w:name w:val="userformat3"/>
    <w:basedOn w:val="Carpredefinitoparagrafo"/>
    <w:qFormat/>
  </w:style>
  <w:style w:type="character" w:customStyle="1" w:styleId="highlightedsearchterm">
    <w:name w:val="highlightedsearchterm"/>
    <w:basedOn w:val="Carpredefinitoparagrafo"/>
    <w:qFormat/>
  </w:style>
  <w:style w:type="character" w:customStyle="1" w:styleId="Collegamentovisitato1">
    <w:name w:val="Collegamento visitato1"/>
    <w:basedOn w:val="Carpredefinitoparagrafo"/>
    <w:uiPriority w:val="99"/>
    <w:unhideWhenUsed/>
    <w:qFormat/>
    <w:rPr>
      <w:color w:val="800080"/>
      <w:u w:val="single"/>
    </w:rPr>
  </w:style>
  <w:style w:type="character" w:customStyle="1" w:styleId="Enfasiforte">
    <w:name w:val="Enfasi forte"/>
    <w:basedOn w:val="Carpredefinitoparagrafo"/>
    <w:qFormat/>
    <w:rPr>
      <w:b/>
      <w:bCs/>
    </w:rPr>
  </w:style>
  <w:style w:type="character" w:customStyle="1" w:styleId="MappadocumentoCarattere">
    <w:name w:val="Mappa documento Carattere"/>
    <w:basedOn w:val="Carpredefinitoparagrafo"/>
    <w:link w:val="Mappadocumento"/>
    <w:qFormat/>
    <w:rPr>
      <w:rFonts w:ascii="Lucida Grande" w:eastAsia="ヒラギノ角ゴ Pro W3" w:hAnsi="Lucida Grande" w:cs="Lucida Grande"/>
      <w:color w:val="000000"/>
      <w:sz w:val="24"/>
      <w:szCs w:val="24"/>
      <w:lang w:eastAsia="en-US"/>
    </w:rPr>
  </w:style>
  <w:style w:type="character" w:customStyle="1" w:styleId="Titolo2Carattere1">
    <w:name w:val="Titolo 2 Carattere1"/>
    <w:basedOn w:val="Carpredefinitoparagrafo"/>
    <w:qFormat/>
    <w:rPr>
      <w:rFonts w:ascii="Cambria" w:eastAsia="Times New Roman" w:hAnsi="Cambria" w:cs="Times New Roman"/>
      <w:b/>
      <w:bCs/>
      <w:color w:val="4F81BD"/>
      <w:sz w:val="26"/>
      <w:szCs w:val="26"/>
      <w:lang w:eastAsia="en-US"/>
    </w:rPr>
  </w:style>
  <w:style w:type="character" w:customStyle="1" w:styleId="Collegamentovisitato2">
    <w:name w:val="Collegamento visitato2"/>
    <w:basedOn w:val="Carpredefinitoparagrafo"/>
    <w:qFormat/>
    <w:rPr>
      <w:color w:val="800080"/>
      <w:u w:val="single"/>
    </w:rPr>
  </w:style>
  <w:style w:type="character" w:customStyle="1" w:styleId="Titolo4Carattere1">
    <w:name w:val="Titolo 4 Carattere1"/>
    <w:basedOn w:val="Carpredefinitoparagrafo"/>
    <w:uiPriority w:val="9"/>
    <w:semiHidden/>
    <w:qFormat/>
    <w:rPr>
      <w:rFonts w:asciiTheme="majorHAnsi" w:eastAsiaTheme="majorEastAsia" w:hAnsiTheme="majorHAnsi" w:cstheme="majorBidi"/>
      <w:i/>
      <w:iCs/>
      <w:color w:val="2E74B5" w:themeColor="accent1" w:themeShade="BF"/>
    </w:rPr>
  </w:style>
  <w:style w:type="character" w:customStyle="1" w:styleId="Titolo8Carattere1">
    <w:name w:val="Titolo 8 Carattere1"/>
    <w:basedOn w:val="Carpredefinitoparagrafo"/>
    <w:uiPriority w:val="9"/>
    <w:semiHidden/>
    <w:qFormat/>
    <w:rPr>
      <w:rFonts w:asciiTheme="majorHAnsi" w:eastAsiaTheme="majorEastAsia" w:hAnsiTheme="majorHAnsi" w:cstheme="majorBidi"/>
      <w:color w:val="262626" w:themeColor="text1" w:themeTint="D9"/>
      <w:sz w:val="21"/>
      <w:szCs w:val="21"/>
    </w:rPr>
  </w:style>
  <w:style w:type="character" w:customStyle="1" w:styleId="Titolo9Carattere1">
    <w:name w:val="Titolo 9 Carattere1"/>
    <w:basedOn w:val="Carpredefinitoparagrafo"/>
    <w:uiPriority w:val="9"/>
    <w:semiHidden/>
    <w:qFormat/>
    <w:rPr>
      <w:rFonts w:asciiTheme="majorHAnsi" w:eastAsiaTheme="majorEastAsia" w:hAnsiTheme="majorHAnsi" w:cstheme="majorBidi"/>
      <w:i/>
      <w:iCs/>
      <w:color w:val="262626" w:themeColor="text1" w:themeTint="D9"/>
      <w:sz w:val="21"/>
      <w:szCs w:val="21"/>
    </w:rPr>
  </w:style>
  <w:style w:type="character" w:customStyle="1" w:styleId="CorpotestoCarattere1">
    <w:name w:val="Corpo testo Carattere1"/>
    <w:basedOn w:val="Carpredefinitoparagrafo"/>
    <w:uiPriority w:val="99"/>
    <w:semiHidden/>
    <w:qFormat/>
    <w:rPr>
      <w:rFonts w:ascii="Times New Roman" w:eastAsia="Times New Roman" w:hAnsi="Times New Roman" w:cs="Times New Roman"/>
      <w:sz w:val="20"/>
      <w:szCs w:val="20"/>
      <w:lang w:eastAsia="it-IT"/>
    </w:rPr>
  </w:style>
  <w:style w:type="character" w:customStyle="1" w:styleId="Caratterenotaapidipagina">
    <w:name w:val="Carattere nota a piè di pagina"/>
    <w:qFormat/>
    <w:rPr>
      <w:vertAlign w:val="superscript"/>
    </w:rPr>
  </w:style>
  <w:style w:type="character" w:customStyle="1" w:styleId="Caratterenotadichiusura">
    <w:name w:val="Carattere nota di chiusura"/>
    <w:qFormat/>
  </w:style>
  <w:style w:type="character" w:customStyle="1" w:styleId="Rimandonotaapidipagina1">
    <w:name w:val="Rimando nota a piè di pagina1"/>
    <w:qFormat/>
    <w:rPr>
      <w:vertAlign w:val="superscript"/>
    </w:rPr>
  </w:style>
  <w:style w:type="character" w:customStyle="1" w:styleId="Caratteredellanota">
    <w:name w:val="Carattere della nota"/>
    <w:qFormat/>
    <w:rPr>
      <w:vertAlign w:val="superscript"/>
    </w:rPr>
  </w:style>
  <w:style w:type="character" w:customStyle="1" w:styleId="Carpredefinitoparagrafo5">
    <w:name w:val="Car. predefinito paragrafo5"/>
    <w:qFormat/>
  </w:style>
  <w:style w:type="character" w:customStyle="1" w:styleId="Carpredefinitoparagrafo4">
    <w:name w:val="Car. predefinito paragrafo4"/>
    <w:qFormat/>
  </w:style>
  <w:style w:type="character" w:customStyle="1" w:styleId="Carpredefinitoparagrafo3">
    <w:name w:val="Car. predefinito paragrafo3"/>
    <w:qFormat/>
  </w:style>
  <w:style w:type="character" w:customStyle="1" w:styleId="Carpredefinitoparagrafo2">
    <w:name w:val="Car. predefinito paragrafo2"/>
    <w:qFormat/>
  </w:style>
  <w:style w:type="character" w:customStyle="1" w:styleId="Carpredefinitoparagrafo6">
    <w:name w:val="Car. predefinito paragrafo6"/>
    <w:qFormat/>
  </w:style>
  <w:style w:type="character" w:customStyle="1" w:styleId="Heading1Char">
    <w:name w:val="Heading 1 Char"/>
    <w:basedOn w:val="Carpredefinitoparagrafo6"/>
    <w:qFormat/>
    <w:rPr>
      <w:rFonts w:ascii="Cambria" w:hAnsi="Cambria" w:cs="Times New Roman"/>
      <w:b/>
      <w:bCs/>
      <w:sz w:val="32"/>
      <w:szCs w:val="32"/>
    </w:rPr>
  </w:style>
  <w:style w:type="character" w:customStyle="1" w:styleId="Heading2Char">
    <w:name w:val="Heading 2 Char"/>
    <w:basedOn w:val="Carpredefinitoparagrafo6"/>
    <w:qFormat/>
    <w:rPr>
      <w:rFonts w:ascii="Cambria" w:hAnsi="Cambria" w:cs="Times New Roman"/>
      <w:b/>
      <w:bCs/>
      <w:i/>
      <w:iCs/>
      <w:sz w:val="28"/>
      <w:szCs w:val="28"/>
    </w:rPr>
  </w:style>
  <w:style w:type="character" w:customStyle="1" w:styleId="Heading3Char">
    <w:name w:val="Heading 3 Char"/>
    <w:basedOn w:val="Carpredefinitoparagrafo6"/>
    <w:qFormat/>
    <w:rPr>
      <w:rFonts w:ascii="Cambria" w:hAnsi="Cambria" w:cs="Mangal"/>
      <w:b/>
      <w:bCs/>
      <w:color w:val="4F81BD"/>
      <w:sz w:val="21"/>
      <w:szCs w:val="21"/>
      <w:lang w:bidi="hi-IN"/>
    </w:rPr>
  </w:style>
  <w:style w:type="character" w:customStyle="1" w:styleId="Heading4Char">
    <w:name w:val="Heading 4 Char"/>
    <w:basedOn w:val="Carpredefinitoparagrafo6"/>
    <w:qFormat/>
    <w:rPr>
      <w:rFonts w:ascii="Times New Roman" w:eastAsia="Times New Roman" w:hAnsi="Times New Roman" w:cs="Times New Roman"/>
      <w:b/>
      <w:bCs/>
      <w:sz w:val="28"/>
      <w:szCs w:val="28"/>
    </w:rPr>
  </w:style>
  <w:style w:type="character" w:customStyle="1" w:styleId="Heading5Char">
    <w:name w:val="Heading 5 Char"/>
    <w:basedOn w:val="Carpredefinitoparagrafo6"/>
    <w:qFormat/>
    <w:rPr>
      <w:rFonts w:ascii="Cambria" w:hAnsi="Cambria" w:cs="Times New Roman"/>
      <w:color w:val="243F60"/>
    </w:rPr>
  </w:style>
  <w:style w:type="character" w:customStyle="1" w:styleId="Heading6Char">
    <w:name w:val="Heading 6 Char"/>
    <w:basedOn w:val="Carpredefinitoparagrafo6"/>
    <w:qFormat/>
    <w:rPr>
      <w:rFonts w:ascii="Times New Roman" w:hAnsi="Times New Roman" w:cs="Times New Roman"/>
      <w:b/>
      <w:bCs/>
    </w:rPr>
  </w:style>
  <w:style w:type="character" w:customStyle="1" w:styleId="Heading8Char">
    <w:name w:val="Heading 8 Char"/>
    <w:basedOn w:val="Carpredefinitoparagrafo6"/>
    <w:qFormat/>
    <w:rPr>
      <w:rFonts w:ascii="Cambria" w:hAnsi="Cambria" w:cs="Times New Roman"/>
      <w:color w:val="404040"/>
      <w:sz w:val="20"/>
      <w:szCs w:val="20"/>
    </w:rPr>
  </w:style>
  <w:style w:type="character" w:customStyle="1" w:styleId="Heading9Char">
    <w:name w:val="Heading 9 Char"/>
    <w:basedOn w:val="Carpredefinitoparagrafo6"/>
    <w:qFormat/>
    <w:rPr>
      <w:rFonts w:ascii="Cambria" w:hAnsi="Cambria" w:cs="Times New Roman"/>
      <w:i/>
      <w:iCs/>
      <w:color w:val="404040"/>
      <w:sz w:val="20"/>
      <w:szCs w:val="20"/>
    </w:rPr>
  </w:style>
  <w:style w:type="character" w:customStyle="1" w:styleId="FootnoteTextChar">
    <w:name w:val="Footnote Text Char"/>
    <w:basedOn w:val="Carpredefinitoparagrafo6"/>
    <w:qFormat/>
    <w:rPr>
      <w:rFonts w:ascii="Times New Roman" w:hAnsi="Times New Roman" w:cs="Times New Roman"/>
      <w:sz w:val="20"/>
      <w:szCs w:val="20"/>
    </w:rPr>
  </w:style>
  <w:style w:type="character" w:customStyle="1" w:styleId="HeaderChar">
    <w:name w:val="Header Char"/>
    <w:basedOn w:val="Carpredefinitoparagrafo6"/>
    <w:qFormat/>
    <w:rPr>
      <w:rFonts w:ascii="Times New Roman" w:hAnsi="Times New Roman" w:cs="Times New Roman"/>
      <w:sz w:val="20"/>
      <w:szCs w:val="20"/>
    </w:rPr>
  </w:style>
  <w:style w:type="character" w:customStyle="1" w:styleId="FooterChar">
    <w:name w:val="Footer Char"/>
    <w:basedOn w:val="Carpredefinitoparagrafo6"/>
    <w:qFormat/>
    <w:rPr>
      <w:rFonts w:ascii="Times New Roman" w:hAnsi="Times New Roman" w:cs="Times New Roman"/>
      <w:sz w:val="20"/>
      <w:szCs w:val="20"/>
    </w:rPr>
  </w:style>
  <w:style w:type="character" w:customStyle="1" w:styleId="BodyText2Char">
    <w:name w:val="Body Text 2 Char"/>
    <w:basedOn w:val="Carpredefinitoparagrafo6"/>
    <w:qFormat/>
    <w:rPr>
      <w:rFonts w:ascii="Times New Roman" w:hAnsi="Times New Roman" w:cs="Times New Roman"/>
      <w:sz w:val="20"/>
      <w:szCs w:val="20"/>
    </w:rPr>
  </w:style>
  <w:style w:type="character" w:customStyle="1" w:styleId="TitleChar">
    <w:name w:val="Title Char"/>
    <w:basedOn w:val="Carpredefinitoparagrafo6"/>
    <w:qFormat/>
    <w:rPr>
      <w:rFonts w:ascii="Cambria" w:hAnsi="Cambria" w:cs="Times New Roman"/>
      <w:b/>
      <w:bCs/>
      <w:sz w:val="32"/>
      <w:szCs w:val="32"/>
    </w:rPr>
  </w:style>
  <w:style w:type="character" w:customStyle="1" w:styleId="CommentTextChar">
    <w:name w:val="Comment Text Char"/>
    <w:basedOn w:val="Carpredefinitoparagrafo6"/>
    <w:qFormat/>
    <w:rPr>
      <w:rFonts w:ascii="Times New Roman" w:hAnsi="Times New Roman" w:cs="Times New Roman"/>
      <w:sz w:val="20"/>
      <w:szCs w:val="20"/>
    </w:rPr>
  </w:style>
  <w:style w:type="character" w:customStyle="1" w:styleId="BalloonTextChar">
    <w:name w:val="Balloon Text Char"/>
    <w:basedOn w:val="Carpredefinitoparagrafo6"/>
    <w:qFormat/>
    <w:rPr>
      <w:rFonts w:ascii="Tahoma" w:hAnsi="Tahoma" w:cs="Tahoma"/>
      <w:sz w:val="16"/>
      <w:szCs w:val="16"/>
    </w:rPr>
  </w:style>
  <w:style w:type="character" w:customStyle="1" w:styleId="NormalWebChar">
    <w:name w:val="Normal (Web) Char"/>
    <w:qFormat/>
    <w:rPr>
      <w:sz w:val="24"/>
    </w:rPr>
  </w:style>
  <w:style w:type="character" w:customStyle="1" w:styleId="Enfasigrassetto1">
    <w:name w:val="Enfasi (grassetto)1"/>
    <w:basedOn w:val="Carpredefinitoparagrafo6"/>
    <w:qFormat/>
    <w:rPr>
      <w:rFonts w:ascii="Times New Roman" w:hAnsi="Times New Roman" w:cs="Times New Roman"/>
      <w:b/>
    </w:rPr>
  </w:style>
  <w:style w:type="character" w:customStyle="1" w:styleId="BodyTextChar">
    <w:name w:val="Body Text Char"/>
    <w:basedOn w:val="Carpredefinitoparagrafo6"/>
    <w:qFormat/>
    <w:rPr>
      <w:rFonts w:ascii="Times New Roman" w:hAnsi="Times New Roman" w:cs="Times New Roman"/>
      <w:sz w:val="24"/>
      <w:szCs w:val="24"/>
      <w:lang w:bidi="ar-SA"/>
    </w:rPr>
  </w:style>
  <w:style w:type="character" w:customStyle="1" w:styleId="Enfasiintensa10">
    <w:name w:val="Enfasi intensa1"/>
    <w:basedOn w:val="Carpredefinitoparagrafo6"/>
    <w:qFormat/>
    <w:rPr>
      <w:rFonts w:ascii="Times New Roman" w:hAnsi="Times New Roman" w:cs="Times New Roman"/>
      <w:b/>
      <w:i/>
      <w:color w:val="4F81BD"/>
    </w:rPr>
  </w:style>
  <w:style w:type="character" w:customStyle="1" w:styleId="Rimandocommento2">
    <w:name w:val="Rimando commento2"/>
    <w:basedOn w:val="Carpredefinitoparagrafo6"/>
    <w:qFormat/>
    <w:rPr>
      <w:rFonts w:ascii="Times New Roman" w:hAnsi="Times New Roman" w:cs="Times New Roman"/>
      <w:sz w:val="16"/>
      <w:szCs w:val="16"/>
    </w:rPr>
  </w:style>
  <w:style w:type="character" w:customStyle="1" w:styleId="CommentSubjectChar">
    <w:name w:val="Comment Subject Char"/>
    <w:qFormat/>
    <w:rPr>
      <w:rFonts w:ascii="Verdana" w:hAnsi="Verdana" w:cs="Verdana"/>
      <w:b/>
      <w:sz w:val="20"/>
    </w:rPr>
  </w:style>
  <w:style w:type="character" w:customStyle="1" w:styleId="PlainTextChar">
    <w:name w:val="Plain Text Char"/>
    <w:basedOn w:val="Carpredefinitoparagrafo6"/>
    <w:qFormat/>
    <w:rPr>
      <w:rFonts w:ascii="Courier New" w:hAnsi="Courier New" w:cs="Times New Roman"/>
      <w:sz w:val="20"/>
      <w:szCs w:val="20"/>
    </w:rPr>
  </w:style>
  <w:style w:type="character" w:customStyle="1" w:styleId="SubtitleChar">
    <w:name w:val="Subtitle Char"/>
    <w:qFormat/>
    <w:rPr>
      <w:rFonts w:ascii="Cambria" w:hAnsi="Cambria" w:cs="Cambria"/>
      <w:i/>
      <w:color w:val="4F81BD"/>
      <w:spacing w:val="15"/>
      <w:sz w:val="24"/>
    </w:rPr>
  </w:style>
  <w:style w:type="character" w:customStyle="1" w:styleId="CommentSubjectChar1">
    <w:name w:val="Comment Subject Char1"/>
    <w:basedOn w:val="CommentTextChar"/>
    <w:qFormat/>
    <w:rPr>
      <w:rFonts w:ascii="Times New Roman" w:hAnsi="Times New Roman" w:cs="Times New Roman"/>
      <w:b/>
      <w:bCs/>
      <w:sz w:val="20"/>
      <w:szCs w:val="20"/>
    </w:rPr>
  </w:style>
  <w:style w:type="character" w:customStyle="1" w:styleId="SubtitleChar1">
    <w:name w:val="Subtitle Char1"/>
    <w:basedOn w:val="Carpredefinitoparagrafo6"/>
    <w:qFormat/>
    <w:rPr>
      <w:rFonts w:ascii="Cambria" w:hAnsi="Cambria" w:cs="Times New Roman"/>
      <w:sz w:val="24"/>
      <w:szCs w:val="24"/>
    </w:rPr>
  </w:style>
  <w:style w:type="character" w:customStyle="1" w:styleId="z-TopofFormChar">
    <w:name w:val="z-Top of Form Char"/>
    <w:basedOn w:val="Carpredefinitoparagrafo6"/>
    <w:qFormat/>
    <w:rPr>
      <w:rFonts w:ascii="Arial" w:hAnsi="Arial" w:cs="Times New Roman"/>
      <w:sz w:val="16"/>
      <w:szCs w:val="16"/>
      <w:lang w:bidi="hi-IN"/>
    </w:rPr>
  </w:style>
  <w:style w:type="character" w:customStyle="1" w:styleId="z-BottomofFormChar">
    <w:name w:val="z-Bottom of Form Char"/>
    <w:basedOn w:val="Carpredefinitoparagrafo6"/>
    <w:qFormat/>
    <w:rPr>
      <w:rFonts w:ascii="Arial" w:hAnsi="Arial" w:cs="Times New Roman"/>
      <w:sz w:val="16"/>
      <w:szCs w:val="16"/>
      <w:lang w:bidi="hi-IN"/>
    </w:rPr>
  </w:style>
  <w:style w:type="character" w:customStyle="1" w:styleId="Rimandonotadichiusura1">
    <w:name w:val="Rimando nota di chiusura1"/>
    <w:basedOn w:val="Carpredefinitoparagrafo6"/>
    <w:qFormat/>
    <w:rPr>
      <w:rFonts w:ascii="Times New Roman" w:hAnsi="Times New Roman" w:cs="Times New Roman"/>
      <w:vertAlign w:val="superscript"/>
    </w:rPr>
  </w:style>
  <w:style w:type="character" w:customStyle="1" w:styleId="Collegamentovisitato3">
    <w:name w:val="Collegamento visitato3"/>
    <w:basedOn w:val="Carpredefinitoparagrafo6"/>
    <w:qFormat/>
    <w:rPr>
      <w:rFonts w:ascii="Times New Roman" w:hAnsi="Times New Roman" w:cs="Times New Roman"/>
      <w:color w:val="800080"/>
      <w:u w:val="single"/>
    </w:rPr>
  </w:style>
  <w:style w:type="character" w:customStyle="1" w:styleId="DocumentMapChar">
    <w:name w:val="Document Map Char"/>
    <w:basedOn w:val="Carpredefinitoparagrafo6"/>
    <w:qFormat/>
    <w:rPr>
      <w:rFonts w:ascii="Lucida Grande" w:hAnsi="Lucida Grande" w:cs="Lucida Grande"/>
      <w:color w:val="000000"/>
      <w:sz w:val="24"/>
      <w:szCs w:val="24"/>
    </w:rPr>
  </w:style>
  <w:style w:type="character" w:customStyle="1" w:styleId="NessunaspaziaturaCarattere">
    <w:name w:val="Nessuna spaziatura Carattere"/>
    <w:link w:val="Nessunaspaziatura1"/>
    <w:uiPriority w:val="1"/>
    <w:qFormat/>
    <w:rPr>
      <w:rFonts w:ascii="Calibri" w:hAnsi="Calibri"/>
      <w:sz w:val="22"/>
      <w:szCs w:val="22"/>
      <w:lang w:eastAsia="en-US"/>
    </w:rPr>
  </w:style>
  <w:style w:type="paragraph" w:customStyle="1" w:styleId="Nessunaspaziatura1">
    <w:name w:val="Nessuna spaziatura1"/>
    <w:link w:val="NessunaspaziaturaCarattere"/>
    <w:uiPriority w:val="1"/>
    <w:qFormat/>
    <w:rPr>
      <w:rFonts w:ascii="Calibri" w:eastAsia="Times New Roman" w:hAnsi="Calibri"/>
      <w:sz w:val="22"/>
      <w:szCs w:val="22"/>
      <w:lang w:eastAsia="en-US"/>
    </w:rPr>
  </w:style>
  <w:style w:type="character" w:customStyle="1" w:styleId="apple-converted-space">
    <w:name w:val="apple-converted-space"/>
    <w:basedOn w:val="Carpredefinitoparagrafo"/>
    <w:qFormat/>
  </w:style>
  <w:style w:type="character" w:customStyle="1" w:styleId="ListLabel5">
    <w:name w:val="ListLabel 5"/>
    <w:qFormat/>
    <w:rPr>
      <w:rFonts w:cs="Times New Roman"/>
    </w:rPr>
  </w:style>
  <w:style w:type="character" w:customStyle="1" w:styleId="ListLabel6">
    <w:name w:val="ListLabel 6"/>
    <w:qFormat/>
    <w:rPr>
      <w:rFonts w:cs="Courier New"/>
    </w:rPr>
  </w:style>
  <w:style w:type="character" w:customStyle="1" w:styleId="ListLabel7">
    <w:name w:val="ListLabel 7"/>
    <w:qFormat/>
    <w:rPr>
      <w:sz w:val="20"/>
    </w:rPr>
  </w:style>
  <w:style w:type="character" w:customStyle="1" w:styleId="Saltoaindice">
    <w:name w:val="Salto a indice"/>
    <w:qFormat/>
  </w:style>
  <w:style w:type="character" w:customStyle="1" w:styleId="Richiamoallanotaapidipagina">
    <w:name w:val="Richiamo alla nota a piè di pagina"/>
    <w:rPr>
      <w:vertAlign w:val="superscript"/>
    </w:rPr>
  </w:style>
  <w:style w:type="character" w:customStyle="1" w:styleId="Richiamoallanotadichiusura">
    <w:name w:val="Richiamo alla nota di chiusura"/>
    <w:rPr>
      <w:vertAlign w:val="superscript"/>
    </w:rPr>
  </w:style>
  <w:style w:type="paragraph" w:customStyle="1" w:styleId="Indice">
    <w:name w:val="Indice"/>
    <w:basedOn w:val="Normale"/>
    <w:qFormat/>
    <w:pPr>
      <w:suppressLineNumbers/>
    </w:pPr>
  </w:style>
  <w:style w:type="paragraph" w:customStyle="1" w:styleId="Intestazione3">
    <w:name w:val="Intestazione3"/>
    <w:basedOn w:val="Normale"/>
    <w:qFormat/>
    <w:pPr>
      <w:keepNext/>
      <w:spacing w:before="240" w:after="120"/>
    </w:pPr>
    <w:rPr>
      <w:rFonts w:ascii="Arial" w:eastAsia="Arial Unicode MS" w:hAnsi="Arial" w:cs="Mangal"/>
      <w:sz w:val="28"/>
      <w:szCs w:val="28"/>
    </w:rPr>
  </w:style>
  <w:style w:type="paragraph" w:customStyle="1" w:styleId="Didascalia3">
    <w:name w:val="Didascalia3"/>
    <w:basedOn w:val="Normale"/>
    <w:qFormat/>
    <w:pPr>
      <w:suppressLineNumbers/>
      <w:spacing w:after="120"/>
    </w:pPr>
    <w:rPr>
      <w:rFonts w:cs="Mangal"/>
      <w:i/>
      <w:iCs/>
      <w:sz w:val="24"/>
      <w:szCs w:val="24"/>
    </w:rPr>
  </w:style>
  <w:style w:type="paragraph" w:customStyle="1" w:styleId="Intestazione2">
    <w:name w:val="Intestazione2"/>
    <w:basedOn w:val="Normale"/>
    <w:qFormat/>
    <w:pPr>
      <w:keepNext/>
      <w:spacing w:before="240" w:after="120"/>
    </w:pPr>
    <w:rPr>
      <w:rFonts w:ascii="Arial" w:eastAsia="Arial Unicode MS" w:hAnsi="Arial" w:cs="Mangal"/>
      <w:sz w:val="28"/>
      <w:szCs w:val="28"/>
    </w:rPr>
  </w:style>
  <w:style w:type="paragraph" w:customStyle="1" w:styleId="Didascalia2">
    <w:name w:val="Didascalia2"/>
    <w:basedOn w:val="Normale"/>
    <w:qFormat/>
    <w:pPr>
      <w:suppressLineNumbers/>
      <w:spacing w:after="120"/>
    </w:pPr>
    <w:rPr>
      <w:rFonts w:cs="Mangal"/>
      <w:i/>
      <w:iCs/>
      <w:sz w:val="24"/>
      <w:szCs w:val="24"/>
    </w:rPr>
  </w:style>
  <w:style w:type="paragraph" w:customStyle="1" w:styleId="Didascalia1">
    <w:name w:val="Didascalia1"/>
    <w:basedOn w:val="Normale"/>
    <w:qFormat/>
    <w:pPr>
      <w:suppressLineNumbers/>
      <w:spacing w:after="120"/>
    </w:pPr>
    <w:rPr>
      <w:i/>
      <w:sz w:val="24"/>
    </w:rPr>
  </w:style>
  <w:style w:type="paragraph" w:customStyle="1" w:styleId="ListParagraph1">
    <w:name w:val="List Paragraph1"/>
    <w:basedOn w:val="Normale"/>
    <w:qFormat/>
    <w:pPr>
      <w:ind w:left="720"/>
    </w:pPr>
  </w:style>
  <w:style w:type="paragraph" w:customStyle="1" w:styleId="BalloonText1">
    <w:name w:val="Balloon Text1"/>
    <w:basedOn w:val="Normale"/>
    <w:qFormat/>
    <w:pPr>
      <w:spacing w:before="0"/>
    </w:pPr>
    <w:rPr>
      <w:rFonts w:ascii="Tahoma" w:hAnsi="Tahoma" w:cs="Tahoma"/>
      <w:sz w:val="16"/>
    </w:rPr>
  </w:style>
  <w:style w:type="paragraph" w:customStyle="1" w:styleId="Titoloprincipale">
    <w:name w:val="Titolo principale"/>
    <w:basedOn w:val="Normale"/>
    <w:next w:val="Sottotitolo"/>
    <w:qFormat/>
    <w:pPr>
      <w:pBdr>
        <w:bottom w:val="single" w:sz="4" w:space="4" w:color="808080"/>
      </w:pBdr>
      <w:spacing w:before="0" w:after="300"/>
      <w:jc w:val="both"/>
    </w:pPr>
    <w:rPr>
      <w:rFonts w:ascii="Cambria" w:hAnsi="Cambria" w:cs="Cambria"/>
      <w:b/>
      <w:color w:val="000080"/>
      <w:spacing w:val="5"/>
      <w:sz w:val="52"/>
    </w:rPr>
  </w:style>
  <w:style w:type="paragraph" w:customStyle="1" w:styleId="NormalWeb1">
    <w:name w:val="Normal (Web)1"/>
    <w:basedOn w:val="Normale"/>
    <w:qFormat/>
    <w:pPr>
      <w:spacing w:before="100" w:after="100"/>
    </w:pPr>
    <w:rPr>
      <w:rFonts w:ascii="Times New Roman" w:hAnsi="Times New Roman" w:cs="Times New Roman"/>
      <w:sz w:val="24"/>
    </w:rPr>
  </w:style>
  <w:style w:type="paragraph" w:customStyle="1" w:styleId="Default">
    <w:name w:val="Default"/>
    <w:qFormat/>
    <w:pPr>
      <w:suppressAutoHyphens/>
    </w:pPr>
    <w:rPr>
      <w:rFonts w:eastAsia="Times New Roman"/>
      <w:color w:val="000000"/>
      <w:sz w:val="24"/>
      <w:lang w:eastAsia="hi-IN" w:bidi="hi-IN"/>
    </w:rPr>
  </w:style>
  <w:style w:type="paragraph" w:customStyle="1" w:styleId="TOCI">
    <w:name w:val="TOCI"/>
    <w:basedOn w:val="Default"/>
    <w:qFormat/>
    <w:rPr>
      <w:rFonts w:ascii="Century Gothic" w:hAnsi="Century Gothic" w:cs="Century Gothic"/>
    </w:rPr>
  </w:style>
  <w:style w:type="paragraph" w:customStyle="1" w:styleId="Contenutotabella">
    <w:name w:val="Contenuto tabella"/>
    <w:basedOn w:val="Normale"/>
    <w:qFormat/>
    <w:pPr>
      <w:suppressLineNumbers/>
      <w:spacing w:before="0" w:after="200"/>
    </w:pPr>
    <w:rPr>
      <w:rFonts w:ascii="Cambria" w:hAnsi="Cambria" w:cs="Cambria"/>
      <w:sz w:val="24"/>
    </w:rPr>
  </w:style>
  <w:style w:type="paragraph" w:customStyle="1" w:styleId="Paragrafoelenco1">
    <w:name w:val="Paragrafo elenco1"/>
    <w:basedOn w:val="Normale"/>
    <w:qFormat/>
    <w:pPr>
      <w:ind w:left="708"/>
    </w:pPr>
    <w:rPr>
      <w:rFonts w:cs="Mangal"/>
    </w:rPr>
  </w:style>
  <w:style w:type="paragraph" w:customStyle="1" w:styleId="Intestazionetabella">
    <w:name w:val="Intestazione tabella"/>
    <w:basedOn w:val="Contenutotabella"/>
    <w:qFormat/>
    <w:pPr>
      <w:jc w:val="center"/>
    </w:pPr>
    <w:rPr>
      <w:b/>
      <w:bCs/>
    </w:rPr>
  </w:style>
  <w:style w:type="paragraph" w:customStyle="1" w:styleId="Revisione1">
    <w:name w:val="Revisione1"/>
    <w:qFormat/>
    <w:rPr>
      <w:rFonts w:ascii="Calibri" w:eastAsia="Times New Roman" w:hAnsi="Calibri" w:cs="Mangal"/>
      <w:sz w:val="22"/>
      <w:lang w:eastAsia="hi-IN" w:bidi="hi-IN"/>
    </w:rPr>
  </w:style>
  <w:style w:type="paragraph" w:customStyle="1" w:styleId="Paragrafoelenco2">
    <w:name w:val="Paragrafo elenco2"/>
    <w:basedOn w:val="Normale"/>
    <w:uiPriority w:val="99"/>
    <w:qFormat/>
    <w:pPr>
      <w:suppressAutoHyphens w:val="0"/>
      <w:spacing w:before="0"/>
      <w:ind w:left="720"/>
      <w:contextualSpacing/>
    </w:pPr>
    <w:rPr>
      <w:rFonts w:ascii="Times New Roman" w:hAnsi="Times New Roman" w:cs="Times New Roman"/>
      <w:sz w:val="20"/>
      <w:lang w:eastAsia="it-IT" w:bidi="ar-SA"/>
    </w:rPr>
  </w:style>
  <w:style w:type="paragraph" w:customStyle="1" w:styleId="StileProva">
    <w:name w:val="StileProva"/>
    <w:basedOn w:val="Normale"/>
    <w:qFormat/>
    <w:pPr>
      <w:suppressAutoHyphens w:val="0"/>
      <w:spacing w:before="0"/>
      <w:jc w:val="both"/>
    </w:pPr>
    <w:rPr>
      <w:rFonts w:ascii="Trebuchet MS" w:hAnsi="Trebuchet MS" w:cs="Times New Roman"/>
      <w:color w:val="000000"/>
      <w:sz w:val="16"/>
      <w:szCs w:val="16"/>
      <w:lang w:eastAsia="it-IT" w:bidi="ar-SA"/>
    </w:rPr>
  </w:style>
  <w:style w:type="paragraph" w:customStyle="1" w:styleId="01Titolocapitolo00">
    <w:name w:val="01_Titolo capitolo 0.0"/>
    <w:basedOn w:val="Normale"/>
    <w:qFormat/>
    <w:pPr>
      <w:widowControl w:val="0"/>
      <w:suppressAutoHyphens w:val="0"/>
      <w:spacing w:before="0" w:line="240" w:lineRule="atLeast"/>
      <w:ind w:left="567"/>
    </w:pPr>
    <w:rPr>
      <w:rFonts w:ascii="Times New Roman MT Std Bd" w:hAnsi="Times New Roman MT Std Bd" w:cs="Times New Roman"/>
      <w:color w:val="008080"/>
      <w:sz w:val="40"/>
      <w:szCs w:val="40"/>
      <w:lang w:eastAsia="it-IT" w:bidi="ar-SA"/>
    </w:rPr>
  </w:style>
  <w:style w:type="paragraph" w:customStyle="1" w:styleId="02Colonnadatigrassetto">
    <w:name w:val="02_Colonna dati grassetto"/>
    <w:basedOn w:val="Normale"/>
    <w:uiPriority w:val="99"/>
    <w:qFormat/>
    <w:pPr>
      <w:widowControl w:val="0"/>
      <w:suppressAutoHyphens w:val="0"/>
      <w:spacing w:before="0" w:line="180" w:lineRule="atLeast"/>
      <w:jc w:val="center"/>
    </w:pPr>
    <w:rPr>
      <w:rFonts w:ascii="Arial" w:hAnsi="Arial" w:cs="Arial"/>
      <w:b/>
      <w:bCs/>
      <w:i/>
      <w:iCs/>
      <w:color w:val="000000"/>
      <w:sz w:val="18"/>
      <w:szCs w:val="18"/>
      <w:lang w:eastAsia="it-IT" w:bidi="ar-SA"/>
    </w:rPr>
  </w:style>
  <w:style w:type="paragraph" w:customStyle="1" w:styleId="01SottotitoloCapitolo00">
    <w:name w:val="01_Sottotitolo_Capitolo_0.0"/>
    <w:basedOn w:val="01Titolocapitolo00"/>
    <w:qFormat/>
    <w:pPr>
      <w:ind w:left="1134"/>
    </w:pPr>
    <w:rPr>
      <w:sz w:val="24"/>
      <w:szCs w:val="24"/>
    </w:rPr>
  </w:style>
  <w:style w:type="paragraph" w:customStyle="1" w:styleId="Standard">
    <w:name w:val="Standard"/>
    <w:qFormat/>
    <w:pPr>
      <w:suppressAutoHyphens/>
      <w:textAlignment w:val="baseline"/>
    </w:pPr>
    <w:rPr>
      <w:rFonts w:ascii="Calibri" w:eastAsia="SimSun" w:hAnsi="Calibri" w:cs="Calibri"/>
      <w:sz w:val="22"/>
      <w:szCs w:val="22"/>
      <w:lang w:eastAsia="en-US"/>
    </w:rPr>
  </w:style>
  <w:style w:type="paragraph" w:customStyle="1" w:styleId="Soggettocommento1">
    <w:name w:val="Soggetto commento1"/>
    <w:basedOn w:val="Testocommento"/>
    <w:uiPriority w:val="99"/>
    <w:unhideWhenUsed/>
    <w:qFormat/>
    <w:pPr>
      <w:suppressAutoHyphens w:val="0"/>
      <w:spacing w:before="0"/>
    </w:pPr>
    <w:rPr>
      <w:rFonts w:eastAsia="Calibri" w:cs="Times New Roman"/>
      <w:b/>
      <w:bCs/>
      <w:szCs w:val="20"/>
      <w:lang w:eastAsia="en-US" w:bidi="ar-SA"/>
    </w:rPr>
  </w:style>
  <w:style w:type="paragraph" w:customStyle="1" w:styleId="Corpotesto1">
    <w:name w:val="Corpo testo1"/>
    <w:basedOn w:val="Normale"/>
    <w:qFormat/>
    <w:pPr>
      <w:widowControl w:val="0"/>
      <w:spacing w:before="0" w:after="120"/>
    </w:pPr>
    <w:rPr>
      <w:rFonts w:ascii="Arial" w:hAnsi="Arial" w:cs="Arial"/>
      <w:sz w:val="24"/>
      <w:szCs w:val="24"/>
      <w:lang w:eastAsia="ar-SA" w:bidi="ar-SA"/>
    </w:rPr>
  </w:style>
  <w:style w:type="paragraph" w:customStyle="1" w:styleId="Sottotitolo1">
    <w:name w:val="Sottotitolo1"/>
    <w:basedOn w:val="Normale"/>
    <w:uiPriority w:val="11"/>
    <w:qFormat/>
    <w:pPr>
      <w:suppressAutoHyphens w:val="0"/>
      <w:spacing w:before="0"/>
    </w:pPr>
    <w:rPr>
      <w:rFonts w:ascii="Cambria" w:hAnsi="Cambria" w:cs="Times New Roman"/>
      <w:i/>
      <w:iCs/>
      <w:color w:val="4F81BD"/>
      <w:spacing w:val="15"/>
      <w:sz w:val="24"/>
      <w:szCs w:val="24"/>
      <w:lang w:eastAsia="it-IT" w:bidi="ar-SA"/>
    </w:rPr>
  </w:style>
  <w:style w:type="paragraph" w:customStyle="1" w:styleId="Titolo3Verdana">
    <w:name w:val="Titolo 3 + Verdana"/>
    <w:basedOn w:val="Titolo1"/>
    <w:qFormat/>
    <w:pPr>
      <w:keepLines w:val="0"/>
      <w:numPr>
        <w:numId w:val="0"/>
      </w:numPr>
      <w:suppressAutoHyphens w:val="0"/>
      <w:spacing w:before="120" w:after="120" w:line="360" w:lineRule="auto"/>
      <w:jc w:val="both"/>
    </w:pPr>
    <w:rPr>
      <w:rFonts w:ascii="Verdana" w:hAnsi="Verdana" w:cs="Times New Roman"/>
      <w:bCs/>
      <w:smallCaps w:val="0"/>
      <w:sz w:val="24"/>
      <w:szCs w:val="24"/>
      <w:lang w:val="zh-CN" w:eastAsia="zh-CN" w:bidi="ar-SA"/>
    </w:rPr>
  </w:style>
  <w:style w:type="paragraph" w:customStyle="1" w:styleId="Titolotabella">
    <w:name w:val="Titolo tabella"/>
    <w:basedOn w:val="Contenutotabella"/>
    <w:qFormat/>
    <w:pPr>
      <w:spacing w:after="0"/>
      <w:jc w:val="center"/>
    </w:pPr>
    <w:rPr>
      <w:rFonts w:ascii="Times New Roman" w:hAnsi="Times New Roman" w:cs="Times New Roman"/>
      <w:b/>
      <w:bCs/>
      <w:szCs w:val="24"/>
      <w:lang w:eastAsia="zh-CN" w:bidi="ar-SA"/>
    </w:rPr>
  </w:style>
  <w:style w:type="paragraph" w:customStyle="1" w:styleId="Revisione2">
    <w:name w:val="Revisione2"/>
    <w:uiPriority w:val="99"/>
    <w:semiHidden/>
    <w:qFormat/>
    <w:rPr>
      <w:rFonts w:eastAsia="Times New Roman"/>
      <w:sz w:val="22"/>
    </w:rPr>
  </w:style>
  <w:style w:type="paragraph" w:customStyle="1" w:styleId="Iniziomodulo-z1">
    <w:name w:val="Inizio modulo -z1"/>
    <w:basedOn w:val="Normale"/>
    <w:uiPriority w:val="99"/>
    <w:unhideWhenUsed/>
    <w:qFormat/>
    <w:pPr>
      <w:pBdr>
        <w:bottom w:val="single" w:sz="6" w:space="1" w:color="00000A"/>
      </w:pBdr>
      <w:suppressAutoHyphens w:val="0"/>
      <w:spacing w:before="0"/>
      <w:jc w:val="center"/>
    </w:pPr>
    <w:rPr>
      <w:rFonts w:ascii="Arial" w:hAnsi="Arial" w:cs="Times New Roman"/>
      <w:vanish/>
      <w:sz w:val="16"/>
      <w:szCs w:val="16"/>
      <w:lang w:bidi="ar-SA"/>
    </w:rPr>
  </w:style>
  <w:style w:type="paragraph" w:customStyle="1" w:styleId="Finemodulo-z1">
    <w:name w:val="Fine modulo -z1"/>
    <w:basedOn w:val="Normale"/>
    <w:uiPriority w:val="99"/>
    <w:unhideWhenUsed/>
    <w:qFormat/>
    <w:pPr>
      <w:pBdr>
        <w:top w:val="single" w:sz="6" w:space="1" w:color="00000A"/>
      </w:pBdr>
      <w:suppressAutoHyphens w:val="0"/>
      <w:spacing w:before="0"/>
      <w:jc w:val="center"/>
    </w:pPr>
    <w:rPr>
      <w:rFonts w:ascii="Arial" w:hAnsi="Arial" w:cs="Times New Roman"/>
      <w:vanish/>
      <w:sz w:val="16"/>
      <w:szCs w:val="16"/>
      <w:lang w:bidi="ar-SA"/>
    </w:rPr>
  </w:style>
  <w:style w:type="paragraph" w:customStyle="1" w:styleId="Corpodeltesto21">
    <w:name w:val="Corpo del testo 21"/>
    <w:basedOn w:val="Normale"/>
    <w:qFormat/>
    <w:pPr>
      <w:spacing w:before="0"/>
      <w:jc w:val="both"/>
    </w:pPr>
    <w:rPr>
      <w:rFonts w:ascii="Times New Roman" w:hAnsi="Times New Roman" w:cs="Times New Roman"/>
      <w:sz w:val="32"/>
      <w:szCs w:val="24"/>
      <w:lang w:eastAsia="ar-SA" w:bidi="ar-SA"/>
    </w:rPr>
  </w:style>
  <w:style w:type="paragraph" w:customStyle="1" w:styleId="viewpar">
    <w:name w:val="viewpar"/>
    <w:basedOn w:val="Normale"/>
    <w:qFormat/>
    <w:pPr>
      <w:suppressAutoHyphens w:val="0"/>
      <w:spacing w:beforeAutospacing="1" w:afterAutospacing="1"/>
    </w:pPr>
    <w:rPr>
      <w:rFonts w:ascii="Times New Roman" w:hAnsi="Times New Roman" w:cs="Times New Roman"/>
      <w:sz w:val="24"/>
      <w:szCs w:val="24"/>
      <w:lang w:eastAsia="it-IT" w:bidi="ar-SA"/>
    </w:rPr>
  </w:style>
  <w:style w:type="paragraph" w:customStyle="1" w:styleId="Titolosommario1">
    <w:name w:val="Titolo sommario1"/>
    <w:basedOn w:val="Titolo1"/>
    <w:uiPriority w:val="39"/>
    <w:unhideWhenUsed/>
    <w:qFormat/>
    <w:pPr>
      <w:numPr>
        <w:numId w:val="0"/>
      </w:numPr>
      <w:suppressAutoHyphens w:val="0"/>
      <w:spacing w:line="276" w:lineRule="auto"/>
      <w:jc w:val="left"/>
    </w:pPr>
    <w:rPr>
      <w:rFonts w:cs="Times New Roman"/>
      <w:bCs/>
      <w:smallCaps w:val="0"/>
      <w:color w:val="365F91"/>
      <w:sz w:val="28"/>
      <w:szCs w:val="28"/>
      <w:lang w:eastAsia="it-IT" w:bidi="ar-SA"/>
    </w:rPr>
  </w:style>
  <w:style w:type="paragraph" w:customStyle="1" w:styleId="Testonormale1">
    <w:name w:val="Testo normale1"/>
    <w:basedOn w:val="Normale"/>
    <w:qFormat/>
    <w:pPr>
      <w:spacing w:before="0" w:after="200" w:line="276" w:lineRule="auto"/>
    </w:pPr>
    <w:rPr>
      <w:rFonts w:ascii="Courier New" w:eastAsia="Calibri" w:hAnsi="Courier New" w:cs="Courier New"/>
      <w:sz w:val="20"/>
      <w:szCs w:val="22"/>
      <w:lang w:eastAsia="ar-SA" w:bidi="ar-SA"/>
    </w:rPr>
  </w:style>
  <w:style w:type="paragraph" w:customStyle="1" w:styleId="Textbody">
    <w:name w:val="Text body"/>
    <w:basedOn w:val="Standard"/>
    <w:qFormat/>
    <w:pPr>
      <w:jc w:val="center"/>
    </w:pPr>
    <w:rPr>
      <w:rFonts w:ascii="Times New Roman" w:eastAsia="Times New Roman" w:hAnsi="Times New Roman" w:cs="Times New Roman"/>
      <w:b/>
      <w:bCs/>
      <w:sz w:val="40"/>
      <w:szCs w:val="24"/>
    </w:rPr>
  </w:style>
  <w:style w:type="paragraph" w:customStyle="1" w:styleId="Titolo11">
    <w:name w:val="Titolo 11"/>
    <w:qFormat/>
    <w:pPr>
      <w:outlineLvl w:val="0"/>
    </w:pPr>
    <w:rPr>
      <w:rFonts w:eastAsia="ヒラギノ角ゴ Pro W3"/>
      <w:color w:val="000000"/>
      <w:sz w:val="22"/>
    </w:rPr>
  </w:style>
  <w:style w:type="paragraph" w:customStyle="1" w:styleId="Titolo31">
    <w:name w:val="Titolo 31"/>
    <w:qFormat/>
    <w:pPr>
      <w:outlineLvl w:val="2"/>
    </w:pPr>
    <w:rPr>
      <w:rFonts w:eastAsia="ヒラギノ角ゴ Pro W3"/>
      <w:color w:val="000000"/>
      <w:sz w:val="22"/>
    </w:rPr>
  </w:style>
  <w:style w:type="paragraph" w:customStyle="1" w:styleId="ModulovuotoA">
    <w:name w:val="Modulo vuoto A"/>
    <w:qFormat/>
    <w:rPr>
      <w:rFonts w:ascii="Calibri" w:eastAsia="ヒラギノ角ゴ Pro W3" w:hAnsi="Calibri"/>
      <w:color w:val="000000"/>
      <w:sz w:val="22"/>
    </w:rPr>
  </w:style>
  <w:style w:type="paragraph" w:customStyle="1" w:styleId="Pidipagina1">
    <w:name w:val="Piè di pagina1"/>
    <w:qFormat/>
    <w:pPr>
      <w:tabs>
        <w:tab w:val="center" w:pos="4819"/>
        <w:tab w:val="right" w:pos="9638"/>
      </w:tabs>
      <w:spacing w:after="200" w:line="276" w:lineRule="auto"/>
    </w:pPr>
    <w:rPr>
      <w:rFonts w:ascii="Calibri" w:eastAsia="ヒラギノ角ゴ Pro W3" w:hAnsi="Calibri"/>
      <w:color w:val="000000"/>
      <w:sz w:val="22"/>
    </w:rPr>
  </w:style>
  <w:style w:type="paragraph" w:customStyle="1" w:styleId="Sommario11">
    <w:name w:val="Sommario 11"/>
    <w:qFormat/>
    <w:pPr>
      <w:spacing w:before="120" w:line="276" w:lineRule="auto"/>
    </w:pPr>
    <w:rPr>
      <w:rFonts w:ascii="Calibri Bold" w:eastAsia="ヒラギノ角ゴ Pro W3" w:hAnsi="Calibri Bold"/>
      <w:color w:val="110E76"/>
      <w:sz w:val="24"/>
    </w:rPr>
  </w:style>
  <w:style w:type="paragraph" w:customStyle="1" w:styleId="Normale1">
    <w:name w:val="Normale1"/>
    <w:uiPriority w:val="99"/>
    <w:qFormat/>
    <w:pPr>
      <w:spacing w:after="200" w:line="276" w:lineRule="auto"/>
    </w:pPr>
    <w:rPr>
      <w:rFonts w:ascii="Calibri" w:eastAsia="ヒラギノ角ゴ Pro W3" w:hAnsi="Calibri"/>
      <w:color w:val="000000"/>
      <w:sz w:val="22"/>
    </w:rPr>
  </w:style>
  <w:style w:type="paragraph" w:customStyle="1" w:styleId="Normale3">
    <w:name w:val="Normale3"/>
    <w:qFormat/>
    <w:rPr>
      <w:rFonts w:eastAsia="ヒラギノ角ゴ Pro W3"/>
      <w:color w:val="000000"/>
      <w:sz w:val="24"/>
      <w:lang w:val="en-US"/>
    </w:rPr>
  </w:style>
  <w:style w:type="paragraph" w:customStyle="1" w:styleId="Sommario12">
    <w:name w:val="Sommario 12"/>
    <w:qFormat/>
    <w:pPr>
      <w:tabs>
        <w:tab w:val="right" w:leader="dot" w:pos="9632"/>
      </w:tabs>
      <w:spacing w:before="240"/>
      <w:ind w:left="720"/>
      <w:outlineLvl w:val="0"/>
    </w:pPr>
    <w:rPr>
      <w:rFonts w:ascii="Helvetica" w:eastAsia="ヒラギノ角ゴ Pro W3" w:hAnsi="Helvetica"/>
      <w:b/>
      <w:i/>
      <w:color w:val="000000"/>
      <w:sz w:val="24"/>
    </w:rPr>
  </w:style>
  <w:style w:type="paragraph" w:customStyle="1" w:styleId="Sommario21">
    <w:name w:val="Sommario 21"/>
    <w:qFormat/>
    <w:pPr>
      <w:tabs>
        <w:tab w:val="right" w:leader="dot" w:pos="9632"/>
      </w:tabs>
      <w:suppressAutoHyphens/>
      <w:spacing w:before="240" w:after="60"/>
      <w:ind w:left="360"/>
      <w:outlineLvl w:val="0"/>
    </w:pPr>
    <w:rPr>
      <w:rFonts w:ascii="Helvetica" w:eastAsia="ヒラギノ角ゴ Pro W3" w:hAnsi="Helvetica"/>
      <w:b/>
      <w:color w:val="000000"/>
      <w:sz w:val="28"/>
    </w:rPr>
  </w:style>
  <w:style w:type="paragraph" w:customStyle="1" w:styleId="Sommario31">
    <w:name w:val="Sommario 31"/>
    <w:qFormat/>
    <w:pPr>
      <w:tabs>
        <w:tab w:val="right" w:leader="dot" w:pos="9632"/>
      </w:tabs>
      <w:suppressAutoHyphens/>
      <w:spacing w:before="240"/>
      <w:ind w:left="720"/>
      <w:outlineLvl w:val="0"/>
    </w:pPr>
    <w:rPr>
      <w:rFonts w:ascii="Helvetica" w:eastAsia="ヒラギノ角ゴ Pro W3" w:hAnsi="Helvetica"/>
      <w:b/>
      <w:i/>
      <w:color w:val="000000"/>
      <w:sz w:val="24"/>
    </w:rPr>
  </w:style>
  <w:style w:type="paragraph" w:customStyle="1" w:styleId="Sommario41">
    <w:name w:val="Sommario 41"/>
    <w:qFormat/>
    <w:pPr>
      <w:tabs>
        <w:tab w:val="right" w:leader="dot" w:pos="9632"/>
      </w:tabs>
      <w:suppressAutoHyphens/>
      <w:spacing w:before="240"/>
      <w:ind w:left="720"/>
      <w:outlineLvl w:val="0"/>
    </w:pPr>
    <w:rPr>
      <w:rFonts w:ascii="Helvetica" w:eastAsia="ヒラギノ角ゴ Pro W3" w:hAnsi="Helvetica"/>
      <w:b/>
      <w:i/>
      <w:color w:val="000000"/>
      <w:sz w:val="24"/>
    </w:rPr>
  </w:style>
  <w:style w:type="paragraph" w:customStyle="1" w:styleId="Sommario51">
    <w:name w:val="Sommario 51"/>
    <w:basedOn w:val="Sommario41"/>
    <w:qFormat/>
    <w:pPr>
      <w:spacing w:line="165" w:lineRule="auto"/>
    </w:pPr>
    <w:rPr>
      <w:rFonts w:ascii="Calibri Bold Italic" w:hAnsi="Calibri Bold Italic"/>
      <w:b w:val="0"/>
      <w:i w:val="0"/>
      <w:color w:val="2B5DCD"/>
    </w:rPr>
  </w:style>
  <w:style w:type="paragraph" w:customStyle="1" w:styleId="Sommario61">
    <w:name w:val="Sommario 61"/>
    <w:qFormat/>
    <w:pPr>
      <w:tabs>
        <w:tab w:val="right" w:leader="dot" w:pos="9632"/>
      </w:tabs>
      <w:spacing w:before="240" w:after="60"/>
      <w:ind w:left="360"/>
      <w:outlineLvl w:val="0"/>
    </w:pPr>
    <w:rPr>
      <w:rFonts w:ascii="Helvetica" w:eastAsia="ヒラギノ角ゴ Pro W3" w:hAnsi="Helvetica"/>
      <w:b/>
      <w:color w:val="000000"/>
      <w:sz w:val="28"/>
    </w:rPr>
  </w:style>
  <w:style w:type="paragraph" w:customStyle="1" w:styleId="Sommario71">
    <w:name w:val="Sommario 71"/>
    <w:basedOn w:val="Sommario21"/>
    <w:qFormat/>
    <w:pPr>
      <w:spacing w:line="165" w:lineRule="auto"/>
    </w:pPr>
    <w:rPr>
      <w:rFonts w:ascii="Calibri Bold" w:hAnsi="Calibri Bold"/>
      <w:b w:val="0"/>
      <w:color w:val="2B5DCD"/>
    </w:rPr>
  </w:style>
  <w:style w:type="paragraph" w:customStyle="1" w:styleId="Sommario81">
    <w:name w:val="Sommario 81"/>
    <w:qFormat/>
    <w:pPr>
      <w:tabs>
        <w:tab w:val="right" w:leader="dot" w:pos="9632"/>
      </w:tabs>
      <w:spacing w:before="240" w:after="60"/>
      <w:outlineLvl w:val="0"/>
    </w:pPr>
    <w:rPr>
      <w:rFonts w:ascii="Helvetica" w:eastAsia="ヒラギノ角ゴ Pro W3" w:hAnsi="Helvetica"/>
      <w:b/>
      <w:color w:val="000000"/>
      <w:sz w:val="36"/>
    </w:rPr>
  </w:style>
  <w:style w:type="paragraph" w:customStyle="1" w:styleId="Sommario91">
    <w:name w:val="Sommario 91"/>
    <w:basedOn w:val="Sommario31"/>
    <w:qFormat/>
    <w:pPr>
      <w:spacing w:line="165" w:lineRule="auto"/>
    </w:pPr>
    <w:rPr>
      <w:rFonts w:ascii="Calibri Bold Italic" w:hAnsi="Calibri Bold Italic"/>
      <w:b w:val="0"/>
      <w:i w:val="0"/>
      <w:color w:val="2B5DCD"/>
    </w:rPr>
  </w:style>
  <w:style w:type="paragraph" w:customStyle="1" w:styleId="Titolo20">
    <w:name w:val="Titolo2"/>
    <w:qFormat/>
    <w:pPr>
      <w:keepNext/>
      <w:outlineLvl w:val="0"/>
    </w:pPr>
    <w:rPr>
      <w:rFonts w:ascii="Helvetica" w:eastAsia="ヒラギノ角ゴ Pro W3" w:hAnsi="Helvetica"/>
      <w:b/>
      <w:color w:val="000000"/>
      <w:sz w:val="56"/>
    </w:rPr>
  </w:style>
  <w:style w:type="paragraph" w:customStyle="1" w:styleId="Corpo">
    <w:name w:val="Corpo"/>
    <w:qFormat/>
    <w:pPr>
      <w:spacing w:after="200" w:line="276" w:lineRule="auto"/>
    </w:pPr>
    <w:rPr>
      <w:rFonts w:ascii="Calibri" w:eastAsia="ヒラギノ角ゴ Pro W3" w:hAnsi="Calibri"/>
      <w:color w:val="000000"/>
      <w:sz w:val="22"/>
    </w:rPr>
  </w:style>
  <w:style w:type="paragraph" w:customStyle="1" w:styleId="Intestazione10">
    <w:name w:val="Intestazione 1"/>
    <w:next w:val="Corpo"/>
    <w:qFormat/>
    <w:pPr>
      <w:keepNext/>
      <w:outlineLvl w:val="0"/>
    </w:pPr>
    <w:rPr>
      <w:rFonts w:ascii="Helvetica" w:eastAsia="ヒラギノ角ゴ Pro W3" w:hAnsi="Helvetica"/>
      <w:b/>
      <w:color w:val="000000"/>
      <w:sz w:val="36"/>
    </w:rPr>
  </w:style>
  <w:style w:type="paragraph" w:customStyle="1" w:styleId="Titolo21">
    <w:name w:val="Titolo 21"/>
    <w:next w:val="Normale1"/>
    <w:qFormat/>
    <w:pPr>
      <w:keepNext/>
      <w:keepLines/>
      <w:spacing w:before="200" w:line="276" w:lineRule="auto"/>
      <w:outlineLvl w:val="1"/>
    </w:pPr>
    <w:rPr>
      <w:rFonts w:ascii="Cambria Bold" w:eastAsia="ヒラギノ角ゴ Pro W3" w:hAnsi="Cambria Bold"/>
      <w:color w:val="101250"/>
      <w:sz w:val="26"/>
    </w:rPr>
  </w:style>
  <w:style w:type="paragraph" w:customStyle="1" w:styleId="Intestazione1A">
    <w:name w:val="Intestazione 1 A"/>
    <w:qFormat/>
    <w:pPr>
      <w:keepNext/>
      <w:outlineLvl w:val="0"/>
    </w:pPr>
    <w:rPr>
      <w:rFonts w:ascii="Helvetica" w:eastAsia="ヒラギノ角ゴ Pro W3" w:hAnsi="Helvetica"/>
      <w:b/>
      <w:color w:val="000000"/>
      <w:sz w:val="36"/>
    </w:rPr>
  </w:style>
  <w:style w:type="paragraph" w:customStyle="1" w:styleId="TOC4Para">
    <w:name w:val="TOC 4 Para"/>
    <w:qFormat/>
    <w:pPr>
      <w:tabs>
        <w:tab w:val="right" w:leader="dot" w:pos="9632"/>
      </w:tabs>
      <w:suppressAutoHyphens/>
      <w:spacing w:before="240" w:after="60"/>
      <w:ind w:left="360"/>
      <w:outlineLvl w:val="0"/>
    </w:pPr>
    <w:rPr>
      <w:rFonts w:ascii="Helvetica" w:eastAsia="ヒラギノ角ゴ Pro W3" w:hAnsi="Helvetica"/>
      <w:b/>
      <w:color w:val="000000"/>
      <w:sz w:val="28"/>
    </w:rPr>
  </w:style>
  <w:style w:type="paragraph" w:customStyle="1" w:styleId="TOC7Para">
    <w:name w:val="TOC 7 Para"/>
    <w:qFormat/>
    <w:pPr>
      <w:tabs>
        <w:tab w:val="right" w:leader="dot" w:pos="9632"/>
      </w:tabs>
      <w:spacing w:before="240" w:after="60"/>
      <w:ind w:left="360"/>
      <w:outlineLvl w:val="0"/>
    </w:pPr>
    <w:rPr>
      <w:rFonts w:ascii="Helvetica" w:eastAsia="ヒラギノ角ゴ Pro W3" w:hAnsi="Helvetica"/>
      <w:b/>
      <w:color w:val="000000"/>
      <w:sz w:val="28"/>
    </w:rPr>
  </w:style>
  <w:style w:type="paragraph" w:customStyle="1" w:styleId="TitoloA">
    <w:name w:val="Titolo A"/>
    <w:qFormat/>
    <w:pPr>
      <w:keepNext/>
      <w:outlineLvl w:val="0"/>
    </w:pPr>
    <w:rPr>
      <w:rFonts w:ascii="Helvetica" w:eastAsia="ヒラギノ角ゴ Pro W3" w:hAnsi="Helvetica"/>
      <w:b/>
      <w:color w:val="000000"/>
      <w:sz w:val="56"/>
    </w:rPr>
  </w:style>
  <w:style w:type="paragraph" w:customStyle="1" w:styleId="TOC10">
    <w:name w:val="TOC 10"/>
    <w:qFormat/>
    <w:pPr>
      <w:tabs>
        <w:tab w:val="right" w:leader="dot" w:pos="9632"/>
      </w:tabs>
      <w:suppressAutoHyphens/>
      <w:spacing w:before="240" w:after="60"/>
      <w:ind w:left="360"/>
      <w:outlineLvl w:val="0"/>
    </w:pPr>
    <w:rPr>
      <w:rFonts w:ascii="Helvetica" w:eastAsia="ヒラギノ角ゴ Pro W3" w:hAnsi="Helvetica"/>
      <w:b/>
      <w:color w:val="000000"/>
      <w:sz w:val="28"/>
    </w:rPr>
  </w:style>
  <w:style w:type="paragraph" w:customStyle="1" w:styleId="Intestazione1AAA">
    <w:name w:val="Intestazione 1 A A A"/>
    <w:qFormat/>
    <w:pPr>
      <w:keepNext/>
      <w:outlineLvl w:val="0"/>
    </w:pPr>
    <w:rPr>
      <w:rFonts w:ascii="Helvetica" w:eastAsia="ヒラギノ角ゴ Pro W3" w:hAnsi="Helvetica"/>
      <w:b/>
      <w:color w:val="000000"/>
      <w:sz w:val="36"/>
    </w:rPr>
  </w:style>
  <w:style w:type="paragraph" w:customStyle="1" w:styleId="TOC9Para">
    <w:name w:val="TOC 9 Para"/>
    <w:qFormat/>
    <w:pPr>
      <w:tabs>
        <w:tab w:val="right" w:leader="dot" w:pos="9632"/>
      </w:tabs>
      <w:suppressAutoHyphens/>
      <w:spacing w:before="240" w:after="60"/>
      <w:outlineLvl w:val="0"/>
    </w:pPr>
    <w:rPr>
      <w:rFonts w:ascii="Helvetica" w:eastAsia="ヒラギノ角ゴ Pro W3" w:hAnsi="Helvetica"/>
      <w:b/>
      <w:color w:val="000000"/>
      <w:sz w:val="36"/>
    </w:rPr>
  </w:style>
  <w:style w:type="paragraph" w:customStyle="1" w:styleId="TOC5Para">
    <w:name w:val="TOC 5 Para"/>
    <w:qFormat/>
    <w:pPr>
      <w:tabs>
        <w:tab w:val="right" w:leader="dot" w:pos="9632"/>
      </w:tabs>
      <w:suppressAutoHyphens/>
      <w:spacing w:before="240"/>
      <w:ind w:left="720"/>
      <w:outlineLvl w:val="0"/>
    </w:pPr>
    <w:rPr>
      <w:rFonts w:ascii="Helvetica" w:eastAsia="ヒラギノ角ゴ Pro W3" w:hAnsi="Helvetica"/>
      <w:b/>
      <w:i/>
      <w:color w:val="000000"/>
      <w:sz w:val="24"/>
    </w:rPr>
  </w:style>
  <w:style w:type="paragraph" w:customStyle="1" w:styleId="TitoloB">
    <w:name w:val="Titolo B"/>
    <w:qFormat/>
    <w:pPr>
      <w:keepNext/>
      <w:outlineLvl w:val="0"/>
    </w:pPr>
    <w:rPr>
      <w:rFonts w:ascii="Helvetica" w:eastAsia="ヒラギノ角ゴ Pro W3" w:hAnsi="Helvetica"/>
      <w:b/>
      <w:color w:val="000000"/>
      <w:sz w:val="56"/>
    </w:rPr>
  </w:style>
  <w:style w:type="paragraph" w:customStyle="1" w:styleId="TOC1Para">
    <w:name w:val="TOC 1 Para"/>
    <w:qFormat/>
    <w:pPr>
      <w:tabs>
        <w:tab w:val="right" w:leader="dot" w:pos="9632"/>
      </w:tabs>
      <w:spacing w:before="240"/>
      <w:ind w:left="720"/>
      <w:outlineLvl w:val="0"/>
    </w:pPr>
    <w:rPr>
      <w:rFonts w:ascii="Helvetica" w:eastAsia="ヒラギノ角ゴ Pro W3" w:hAnsi="Helvetica"/>
      <w:b/>
      <w:i/>
      <w:color w:val="000000"/>
      <w:sz w:val="24"/>
    </w:rPr>
  </w:style>
  <w:style w:type="paragraph" w:customStyle="1" w:styleId="Intestazione1B">
    <w:name w:val="Intestazione 1 B"/>
    <w:qFormat/>
    <w:pPr>
      <w:keepNext/>
      <w:outlineLvl w:val="0"/>
    </w:pPr>
    <w:rPr>
      <w:rFonts w:ascii="Helvetica" w:eastAsia="ヒラギノ角ゴ Pro W3" w:hAnsi="Helvetica"/>
      <w:b/>
      <w:color w:val="000000"/>
      <w:sz w:val="36"/>
    </w:rPr>
  </w:style>
  <w:style w:type="paragraph" w:customStyle="1" w:styleId="TOC8Para">
    <w:name w:val="TOC 8 Para"/>
    <w:qFormat/>
    <w:pPr>
      <w:tabs>
        <w:tab w:val="right" w:leader="dot" w:pos="9632"/>
      </w:tabs>
      <w:spacing w:before="240" w:after="60"/>
      <w:ind w:left="360"/>
      <w:outlineLvl w:val="0"/>
    </w:pPr>
    <w:rPr>
      <w:rFonts w:ascii="Helvetica" w:eastAsia="ヒラギノ角ゴ Pro W3" w:hAnsi="Helvetica"/>
      <w:b/>
      <w:color w:val="000000"/>
      <w:sz w:val="28"/>
    </w:rPr>
  </w:style>
  <w:style w:type="paragraph" w:customStyle="1" w:styleId="Titolo10">
    <w:name w:val="Titolo1"/>
    <w:qFormat/>
    <w:pPr>
      <w:keepNext/>
      <w:outlineLvl w:val="0"/>
    </w:pPr>
    <w:rPr>
      <w:rFonts w:ascii="Helvetica" w:eastAsia="ヒラギノ角ゴ Pro W3" w:hAnsi="Helvetica"/>
      <w:b/>
      <w:color w:val="000000"/>
      <w:sz w:val="56"/>
    </w:rPr>
  </w:style>
  <w:style w:type="paragraph" w:customStyle="1" w:styleId="TOC11">
    <w:name w:val="TOC 11"/>
    <w:qFormat/>
    <w:pPr>
      <w:tabs>
        <w:tab w:val="right" w:leader="dot" w:pos="9632"/>
      </w:tabs>
      <w:spacing w:before="240" w:after="60"/>
      <w:outlineLvl w:val="0"/>
    </w:pPr>
    <w:rPr>
      <w:rFonts w:ascii="Helvetica" w:eastAsia="ヒラギノ角ゴ Pro W3" w:hAnsi="Helvetica"/>
      <w:b/>
      <w:color w:val="000000"/>
      <w:sz w:val="36"/>
    </w:rPr>
  </w:style>
  <w:style w:type="paragraph" w:customStyle="1" w:styleId="Intestazione1AB">
    <w:name w:val="Intestazione 1 A B"/>
    <w:qFormat/>
    <w:pPr>
      <w:keepNext/>
      <w:outlineLvl w:val="0"/>
    </w:pPr>
    <w:rPr>
      <w:rFonts w:ascii="Helvetica" w:eastAsia="ヒラギノ角ゴ Pro W3" w:hAnsi="Helvetica"/>
      <w:b/>
      <w:color w:val="000000"/>
      <w:sz w:val="36"/>
    </w:rPr>
  </w:style>
  <w:style w:type="paragraph" w:customStyle="1" w:styleId="TOC6Para">
    <w:name w:val="TOC 6 Para"/>
    <w:qFormat/>
    <w:pPr>
      <w:tabs>
        <w:tab w:val="right" w:leader="dot" w:pos="9632"/>
      </w:tabs>
      <w:spacing w:before="240" w:after="60"/>
      <w:outlineLvl w:val="0"/>
    </w:pPr>
    <w:rPr>
      <w:rFonts w:ascii="Helvetica" w:eastAsia="ヒラギノ角ゴ Pro W3" w:hAnsi="Helvetica"/>
      <w:b/>
      <w:color w:val="000000"/>
      <w:sz w:val="36"/>
    </w:rPr>
  </w:style>
  <w:style w:type="paragraph" w:customStyle="1" w:styleId="Intestazione1AA">
    <w:name w:val="Intestazione 1 A A"/>
    <w:qFormat/>
    <w:pPr>
      <w:keepNext/>
      <w:outlineLvl w:val="0"/>
    </w:pPr>
    <w:rPr>
      <w:rFonts w:ascii="Helvetica" w:eastAsia="ヒラギノ角ゴ Pro W3" w:hAnsi="Helvetica"/>
      <w:b/>
      <w:color w:val="000000"/>
      <w:sz w:val="36"/>
    </w:rPr>
  </w:style>
  <w:style w:type="paragraph" w:customStyle="1" w:styleId="CorpoA">
    <w:name w:val="Corpo A"/>
    <w:qFormat/>
    <w:rPr>
      <w:rFonts w:ascii="Helvetica" w:eastAsia="ヒラギノ角ゴ Pro W3" w:hAnsi="Helvetica"/>
      <w:color w:val="000000"/>
      <w:sz w:val="24"/>
    </w:rPr>
  </w:style>
  <w:style w:type="paragraph" w:customStyle="1" w:styleId="Intestazione5">
    <w:name w:val="Intestazione 5"/>
    <w:next w:val="Corpo"/>
    <w:qFormat/>
    <w:pPr>
      <w:keepNext/>
      <w:outlineLvl w:val="4"/>
    </w:pPr>
    <w:rPr>
      <w:rFonts w:ascii="Helvetica" w:eastAsia="ヒラギノ角ゴ Pro W3" w:hAnsi="Helvetica"/>
      <w:b/>
      <w:color w:val="000000"/>
      <w:sz w:val="24"/>
    </w:rPr>
  </w:style>
  <w:style w:type="paragraph" w:customStyle="1" w:styleId="Intestazione9">
    <w:name w:val="Intestazione 9"/>
    <w:next w:val="Corpo"/>
    <w:qFormat/>
    <w:pPr>
      <w:keepNext/>
      <w:outlineLvl w:val="8"/>
    </w:pPr>
    <w:rPr>
      <w:rFonts w:ascii="Helvetica" w:eastAsia="ヒラギノ角ゴ Pro W3" w:hAnsi="Helvetica"/>
      <w:b/>
      <w:color w:val="000000"/>
      <w:sz w:val="24"/>
    </w:rPr>
  </w:style>
  <w:style w:type="paragraph" w:customStyle="1" w:styleId="Intestazione4">
    <w:name w:val="Intestazione 4"/>
    <w:next w:val="Corpo"/>
    <w:qFormat/>
    <w:pPr>
      <w:keepNext/>
      <w:outlineLvl w:val="3"/>
    </w:pPr>
    <w:rPr>
      <w:rFonts w:ascii="Helvetica" w:eastAsia="ヒラギノ角ゴ Pro W3" w:hAnsi="Helvetica"/>
      <w:b/>
      <w:color w:val="000000"/>
      <w:sz w:val="24"/>
    </w:rPr>
  </w:style>
  <w:style w:type="paragraph" w:customStyle="1" w:styleId="Intestazione8">
    <w:name w:val="Intestazione 8"/>
    <w:next w:val="Corpo"/>
    <w:qFormat/>
    <w:pPr>
      <w:keepNext/>
      <w:outlineLvl w:val="7"/>
    </w:pPr>
    <w:rPr>
      <w:rFonts w:ascii="Helvetica" w:eastAsia="ヒラギノ角ゴ Pro W3" w:hAnsi="Helvetica"/>
      <w:b/>
      <w:color w:val="000000"/>
      <w:sz w:val="24"/>
    </w:rPr>
  </w:style>
  <w:style w:type="paragraph" w:customStyle="1" w:styleId="Intestazione30">
    <w:name w:val="Intestazione 3"/>
    <w:next w:val="Corpo"/>
    <w:qFormat/>
    <w:pPr>
      <w:keepNext/>
      <w:outlineLvl w:val="2"/>
    </w:pPr>
    <w:rPr>
      <w:rFonts w:ascii="Helvetica" w:eastAsia="ヒラギノ角ゴ Pro W3" w:hAnsi="Helvetica"/>
      <w:b/>
      <w:color w:val="000000"/>
      <w:sz w:val="24"/>
    </w:rPr>
  </w:style>
  <w:style w:type="paragraph" w:customStyle="1" w:styleId="Intestazione20">
    <w:name w:val="Intestazione 2"/>
    <w:next w:val="Corpo"/>
    <w:qFormat/>
    <w:pPr>
      <w:keepNext/>
      <w:outlineLvl w:val="1"/>
    </w:pPr>
    <w:rPr>
      <w:rFonts w:ascii="Helvetica" w:eastAsia="ヒラギノ角ゴ Pro W3" w:hAnsi="Helvetica"/>
      <w:b/>
      <w:color w:val="000000"/>
      <w:sz w:val="24"/>
    </w:rPr>
  </w:style>
  <w:style w:type="paragraph" w:customStyle="1" w:styleId="Intestazione7">
    <w:name w:val="Intestazione 7"/>
    <w:next w:val="Corpo"/>
    <w:qFormat/>
    <w:pPr>
      <w:keepNext/>
      <w:outlineLvl w:val="6"/>
    </w:pPr>
    <w:rPr>
      <w:rFonts w:ascii="Helvetica" w:eastAsia="ヒラギノ角ゴ Pro W3" w:hAnsi="Helvetica"/>
      <w:b/>
      <w:color w:val="000000"/>
      <w:sz w:val="24"/>
    </w:rPr>
  </w:style>
  <w:style w:type="paragraph" w:customStyle="1" w:styleId="Intestazione6">
    <w:name w:val="Intestazione 6"/>
    <w:next w:val="Corpo"/>
    <w:qFormat/>
    <w:pPr>
      <w:keepNext/>
      <w:outlineLvl w:val="5"/>
    </w:pPr>
    <w:rPr>
      <w:rFonts w:ascii="Helvetica" w:eastAsia="ヒラギノ角ゴ Pro W3" w:hAnsi="Helvetica"/>
      <w:b/>
      <w:color w:val="000000"/>
      <w:sz w:val="24"/>
    </w:rPr>
  </w:style>
  <w:style w:type="paragraph" w:customStyle="1" w:styleId="Intestazione3AB">
    <w:name w:val="Intestazione 3 A B"/>
    <w:qFormat/>
    <w:pPr>
      <w:keepNext/>
      <w:outlineLvl w:val="2"/>
    </w:pPr>
    <w:rPr>
      <w:rFonts w:ascii="Helvetica" w:eastAsia="ヒラギノ角ゴ Pro W3" w:hAnsi="Helvetica"/>
      <w:b/>
      <w:color w:val="000000"/>
      <w:sz w:val="24"/>
    </w:rPr>
  </w:style>
  <w:style w:type="paragraph" w:customStyle="1" w:styleId="Intestazione3AA">
    <w:name w:val="Intestazione 3 A A"/>
    <w:qFormat/>
    <w:pPr>
      <w:keepNext/>
      <w:outlineLvl w:val="2"/>
    </w:pPr>
    <w:rPr>
      <w:rFonts w:ascii="Helvetica" w:eastAsia="ヒラギノ角ゴ Pro W3" w:hAnsi="Helvetica"/>
      <w:b/>
      <w:color w:val="000000"/>
      <w:sz w:val="24"/>
    </w:rPr>
  </w:style>
  <w:style w:type="paragraph" w:customStyle="1" w:styleId="Intestazione3A">
    <w:name w:val="Intestazione 3 A"/>
    <w:qFormat/>
    <w:pPr>
      <w:keepNext/>
      <w:outlineLvl w:val="2"/>
    </w:pPr>
    <w:rPr>
      <w:rFonts w:ascii="Helvetica" w:eastAsia="ヒラギノ角ゴ Pro W3" w:hAnsi="Helvetica"/>
      <w:b/>
      <w:color w:val="000000"/>
      <w:sz w:val="24"/>
    </w:rPr>
  </w:style>
  <w:style w:type="paragraph" w:customStyle="1" w:styleId="Intestazione3AAA">
    <w:name w:val="Intestazione 3 A A A"/>
    <w:qFormat/>
    <w:pPr>
      <w:keepNext/>
      <w:outlineLvl w:val="2"/>
    </w:pPr>
    <w:rPr>
      <w:rFonts w:ascii="Helvetica" w:eastAsia="ヒラギノ角ゴ Pro W3" w:hAnsi="Helvetica"/>
      <w:b/>
      <w:color w:val="000000"/>
      <w:sz w:val="24"/>
    </w:rPr>
  </w:style>
  <w:style w:type="paragraph" w:customStyle="1" w:styleId="Intestazione3AC">
    <w:name w:val="Intestazione 3 A C"/>
    <w:qFormat/>
    <w:pPr>
      <w:keepNext/>
      <w:outlineLvl w:val="2"/>
    </w:pPr>
    <w:rPr>
      <w:rFonts w:ascii="Helvetica" w:eastAsia="ヒラギノ角ゴ Pro W3" w:hAnsi="Helvetica"/>
      <w:b/>
      <w:color w:val="000000"/>
      <w:sz w:val="24"/>
    </w:rPr>
  </w:style>
  <w:style w:type="paragraph" w:customStyle="1" w:styleId="Intestazione2B">
    <w:name w:val="Intestazione 2 B"/>
    <w:qFormat/>
    <w:pPr>
      <w:keepNext/>
      <w:outlineLvl w:val="1"/>
    </w:pPr>
    <w:rPr>
      <w:rFonts w:ascii="Helvetica" w:eastAsia="ヒラギノ角ゴ Pro W3" w:hAnsi="Helvetica"/>
      <w:b/>
      <w:color w:val="000000"/>
      <w:sz w:val="24"/>
    </w:rPr>
  </w:style>
  <w:style w:type="paragraph" w:customStyle="1" w:styleId="Titolo22">
    <w:name w:val="Titolo 22"/>
    <w:next w:val="Normale3"/>
    <w:qFormat/>
    <w:pPr>
      <w:keepNext/>
      <w:keepLines/>
      <w:spacing w:before="200" w:line="276" w:lineRule="auto"/>
      <w:outlineLvl w:val="1"/>
    </w:pPr>
    <w:rPr>
      <w:rFonts w:ascii="Cambria Bold" w:eastAsia="ヒラギノ角ゴ Pro W3" w:hAnsi="Cambria Bold"/>
      <w:color w:val="101250"/>
      <w:sz w:val="26"/>
    </w:rPr>
  </w:style>
  <w:style w:type="paragraph" w:customStyle="1" w:styleId="Intestazione2A">
    <w:name w:val="Intestazione 2 A"/>
    <w:qFormat/>
    <w:pPr>
      <w:keepNext/>
      <w:outlineLvl w:val="1"/>
    </w:pPr>
    <w:rPr>
      <w:rFonts w:ascii="Helvetica" w:eastAsia="ヒラギノ角ゴ Pro W3" w:hAnsi="Helvetica"/>
      <w:b/>
      <w:color w:val="000000"/>
      <w:sz w:val="24"/>
    </w:rPr>
  </w:style>
  <w:style w:type="paragraph" w:customStyle="1" w:styleId="Intestazione2AA">
    <w:name w:val="Intestazione 2 A A"/>
    <w:qFormat/>
    <w:pPr>
      <w:keepNext/>
      <w:outlineLvl w:val="1"/>
    </w:pPr>
    <w:rPr>
      <w:rFonts w:ascii="Helvetica" w:eastAsia="ヒラギノ角ゴ Pro W3" w:hAnsi="Helvetica"/>
      <w:b/>
      <w:color w:val="000000"/>
      <w:sz w:val="24"/>
    </w:rPr>
  </w:style>
  <w:style w:type="paragraph" w:customStyle="1" w:styleId="Intestazione2AB">
    <w:name w:val="Intestazione 2 A B"/>
    <w:qFormat/>
    <w:pPr>
      <w:keepNext/>
      <w:outlineLvl w:val="1"/>
    </w:pPr>
    <w:rPr>
      <w:rFonts w:ascii="Helvetica" w:eastAsia="ヒラギノ角ゴ Pro W3" w:hAnsi="Helvetica"/>
      <w:b/>
      <w:color w:val="000000"/>
      <w:sz w:val="24"/>
    </w:rPr>
  </w:style>
  <w:style w:type="paragraph" w:customStyle="1" w:styleId="Modulovuoto">
    <w:name w:val="Modulo vuoto"/>
    <w:qFormat/>
    <w:rPr>
      <w:rFonts w:eastAsia="ヒラギノ角ゴ Pro W3"/>
      <w:color w:val="000000"/>
      <w:sz w:val="22"/>
    </w:rPr>
  </w:style>
  <w:style w:type="paragraph" w:customStyle="1" w:styleId="ModulovuotoB">
    <w:name w:val="Modulo vuoto B"/>
    <w:qFormat/>
    <w:rPr>
      <w:rFonts w:eastAsia="ヒラギノ角ゴ Pro W3"/>
      <w:color w:val="000000"/>
      <w:sz w:val="22"/>
    </w:rPr>
  </w:style>
  <w:style w:type="paragraph" w:customStyle="1" w:styleId="ModulovuotoBA">
    <w:name w:val="Modulo vuoto B A"/>
    <w:qFormat/>
    <w:rPr>
      <w:rFonts w:eastAsia="ヒラギノ角ゴ Pro W3"/>
      <w:color w:val="000000"/>
      <w:sz w:val="22"/>
    </w:rPr>
  </w:style>
  <w:style w:type="paragraph" w:customStyle="1" w:styleId="ModulovuotoBAA">
    <w:name w:val="Modulo vuoto B A A"/>
    <w:qFormat/>
    <w:rPr>
      <w:rFonts w:eastAsia="ヒラギノ角ゴ Pro W3"/>
      <w:color w:val="000000"/>
      <w:sz w:val="22"/>
    </w:rPr>
  </w:style>
  <w:style w:type="paragraph" w:customStyle="1" w:styleId="ModulovuotoBAAA">
    <w:name w:val="Modulo vuoto B A A A"/>
    <w:qFormat/>
    <w:rPr>
      <w:rFonts w:eastAsia="ヒラギノ角ゴ Pro W3"/>
      <w:color w:val="000000"/>
      <w:sz w:val="22"/>
    </w:rPr>
  </w:style>
  <w:style w:type="paragraph" w:customStyle="1" w:styleId="Normale2">
    <w:name w:val="Normale2"/>
    <w:qFormat/>
    <w:pPr>
      <w:suppressAutoHyphens/>
    </w:pPr>
    <w:rPr>
      <w:rFonts w:eastAsia="ヒラギノ角ゴ Pro W3"/>
      <w:color w:val="000000"/>
      <w:sz w:val="22"/>
    </w:rPr>
  </w:style>
  <w:style w:type="paragraph" w:customStyle="1" w:styleId="Titolo41">
    <w:name w:val="Titolo 41"/>
    <w:basedOn w:val="Normale"/>
    <w:uiPriority w:val="9"/>
    <w:unhideWhenUsed/>
    <w:qFormat/>
    <w:pPr>
      <w:keepNext/>
      <w:suppressAutoHyphens w:val="0"/>
      <w:spacing w:before="240" w:after="60"/>
      <w:outlineLvl w:val="3"/>
    </w:pPr>
    <w:rPr>
      <w:rFonts w:asciiTheme="minorHAnsi" w:hAnsiTheme="minorHAnsi" w:cstheme="minorBidi"/>
      <w:b/>
      <w:bCs/>
      <w:sz w:val="28"/>
      <w:szCs w:val="28"/>
      <w:lang w:eastAsia="it-IT" w:bidi="ar-SA"/>
    </w:rPr>
  </w:style>
  <w:style w:type="paragraph" w:customStyle="1" w:styleId="Titolo81">
    <w:name w:val="Titolo 81"/>
    <w:basedOn w:val="Normale"/>
    <w:unhideWhenUsed/>
    <w:qFormat/>
    <w:pPr>
      <w:keepNext/>
      <w:keepLines/>
      <w:suppressAutoHyphens w:val="0"/>
      <w:spacing w:before="200"/>
      <w:outlineLvl w:val="7"/>
    </w:pPr>
    <w:rPr>
      <w:rFonts w:ascii="Cambria" w:hAnsi="Cambria" w:cs="Times New Roman"/>
      <w:color w:val="404040"/>
      <w:sz w:val="20"/>
      <w:lang w:eastAsia="it-IT" w:bidi="ar-SA"/>
    </w:rPr>
  </w:style>
  <w:style w:type="paragraph" w:customStyle="1" w:styleId="Titolo91">
    <w:name w:val="Titolo 91"/>
    <w:basedOn w:val="Normale"/>
    <w:unhideWhenUsed/>
    <w:qFormat/>
    <w:pPr>
      <w:keepNext/>
      <w:keepLines/>
      <w:suppressAutoHyphens w:val="0"/>
      <w:spacing w:before="200"/>
      <w:outlineLvl w:val="8"/>
    </w:pPr>
    <w:rPr>
      <w:rFonts w:ascii="Cambria" w:hAnsi="Cambria" w:cs="Times New Roman"/>
      <w:i/>
      <w:iCs/>
      <w:color w:val="404040"/>
      <w:sz w:val="20"/>
      <w:lang w:eastAsia="it-IT" w:bidi="ar-SA"/>
    </w:rPr>
  </w:style>
  <w:style w:type="paragraph" w:customStyle="1" w:styleId="NormaleWeb1">
    <w:name w:val="Normale (Web)1"/>
    <w:basedOn w:val="Normale"/>
    <w:unhideWhenUsed/>
    <w:qFormat/>
    <w:pPr>
      <w:suppressAutoHyphens w:val="0"/>
      <w:spacing w:beforeAutospacing="1" w:afterAutospacing="1"/>
    </w:pPr>
    <w:rPr>
      <w:rFonts w:asciiTheme="minorHAnsi" w:eastAsiaTheme="minorHAnsi" w:hAnsiTheme="minorHAnsi" w:cstheme="minorBidi"/>
      <w:sz w:val="24"/>
      <w:szCs w:val="24"/>
      <w:lang w:eastAsia="en-US" w:bidi="ar-SA"/>
    </w:rPr>
  </w:style>
  <w:style w:type="paragraph" w:customStyle="1" w:styleId="Sommario32">
    <w:name w:val="Sommario 32"/>
    <w:basedOn w:val="Normale"/>
    <w:uiPriority w:val="39"/>
    <w:qFormat/>
    <w:pPr>
      <w:suppressAutoHyphens w:val="0"/>
      <w:spacing w:before="0"/>
      <w:ind w:left="200"/>
    </w:pPr>
    <w:rPr>
      <w:rFonts w:asciiTheme="minorHAnsi" w:hAnsiTheme="minorHAnsi"/>
      <w:sz w:val="20"/>
      <w:lang w:eastAsia="it-IT" w:bidi="ar-SA"/>
    </w:rPr>
  </w:style>
  <w:style w:type="paragraph" w:customStyle="1" w:styleId="Sommario42">
    <w:name w:val="Sommario 42"/>
    <w:basedOn w:val="Normale"/>
    <w:uiPriority w:val="39"/>
    <w:unhideWhenUsed/>
    <w:qFormat/>
    <w:pPr>
      <w:suppressAutoHyphens w:val="0"/>
      <w:spacing w:before="0"/>
      <w:ind w:left="400"/>
    </w:pPr>
    <w:rPr>
      <w:rFonts w:asciiTheme="minorHAnsi" w:hAnsiTheme="minorHAnsi"/>
      <w:sz w:val="20"/>
      <w:lang w:eastAsia="it-IT" w:bidi="ar-SA"/>
    </w:rPr>
  </w:style>
  <w:style w:type="paragraph" w:customStyle="1" w:styleId="Sommario52">
    <w:name w:val="Sommario 52"/>
    <w:basedOn w:val="Normale"/>
    <w:uiPriority w:val="39"/>
    <w:unhideWhenUsed/>
    <w:qFormat/>
    <w:pPr>
      <w:suppressAutoHyphens w:val="0"/>
      <w:spacing w:before="0"/>
      <w:ind w:left="600"/>
    </w:pPr>
    <w:rPr>
      <w:rFonts w:asciiTheme="minorHAnsi" w:hAnsiTheme="minorHAnsi"/>
      <w:sz w:val="20"/>
      <w:lang w:eastAsia="it-IT" w:bidi="ar-SA"/>
    </w:rPr>
  </w:style>
  <w:style w:type="paragraph" w:customStyle="1" w:styleId="Sommario62">
    <w:name w:val="Sommario 62"/>
    <w:basedOn w:val="Normale"/>
    <w:uiPriority w:val="39"/>
    <w:unhideWhenUsed/>
    <w:qFormat/>
    <w:pPr>
      <w:suppressAutoHyphens w:val="0"/>
      <w:spacing w:before="0"/>
      <w:ind w:left="800"/>
    </w:pPr>
    <w:rPr>
      <w:rFonts w:asciiTheme="minorHAnsi" w:hAnsiTheme="minorHAnsi"/>
      <w:sz w:val="20"/>
      <w:lang w:eastAsia="it-IT" w:bidi="ar-SA"/>
    </w:rPr>
  </w:style>
  <w:style w:type="paragraph" w:customStyle="1" w:styleId="Sommario72">
    <w:name w:val="Sommario 72"/>
    <w:basedOn w:val="Normale"/>
    <w:uiPriority w:val="39"/>
    <w:unhideWhenUsed/>
    <w:qFormat/>
    <w:pPr>
      <w:suppressAutoHyphens w:val="0"/>
      <w:spacing w:before="0"/>
      <w:ind w:left="1000"/>
    </w:pPr>
    <w:rPr>
      <w:rFonts w:asciiTheme="minorHAnsi" w:hAnsiTheme="minorHAnsi"/>
      <w:sz w:val="20"/>
      <w:lang w:eastAsia="it-IT" w:bidi="ar-SA"/>
    </w:rPr>
  </w:style>
  <w:style w:type="paragraph" w:customStyle="1" w:styleId="Sommario82">
    <w:name w:val="Sommario 82"/>
    <w:basedOn w:val="Normale"/>
    <w:uiPriority w:val="39"/>
    <w:unhideWhenUsed/>
    <w:qFormat/>
    <w:pPr>
      <w:suppressAutoHyphens w:val="0"/>
      <w:spacing w:before="0"/>
      <w:ind w:left="1200"/>
    </w:pPr>
    <w:rPr>
      <w:rFonts w:asciiTheme="minorHAnsi" w:hAnsiTheme="minorHAnsi"/>
      <w:sz w:val="20"/>
      <w:lang w:eastAsia="it-IT" w:bidi="ar-SA"/>
    </w:rPr>
  </w:style>
  <w:style w:type="paragraph" w:customStyle="1" w:styleId="Sommario92">
    <w:name w:val="Sommario 92"/>
    <w:basedOn w:val="Normale"/>
    <w:uiPriority w:val="39"/>
    <w:unhideWhenUsed/>
    <w:qFormat/>
    <w:pPr>
      <w:suppressAutoHyphens w:val="0"/>
      <w:spacing w:before="0"/>
      <w:ind w:left="1400"/>
    </w:pPr>
    <w:rPr>
      <w:rFonts w:asciiTheme="minorHAnsi" w:hAnsiTheme="minorHAnsi"/>
      <w:sz w:val="20"/>
      <w:lang w:eastAsia="it-IT" w:bidi="ar-SA"/>
    </w:rPr>
  </w:style>
  <w:style w:type="paragraph" w:customStyle="1" w:styleId="Testonotaapidipagina1">
    <w:name w:val="Testo nota a piè di pagina1"/>
    <w:basedOn w:val="Normale"/>
    <w:qFormat/>
    <w:pPr>
      <w:spacing w:before="0" w:line="100" w:lineRule="atLeast"/>
    </w:pPr>
    <w:rPr>
      <w:rFonts w:ascii="Times New Roman" w:hAnsi="Times New Roman" w:cs="Times New Roman"/>
      <w:sz w:val="20"/>
      <w:lang w:eastAsia="ar-SA" w:bidi="ar-SA"/>
    </w:rPr>
  </w:style>
  <w:style w:type="paragraph" w:customStyle="1" w:styleId="stile">
    <w:name w:val="stile"/>
    <w:basedOn w:val="Normale"/>
    <w:qFormat/>
    <w:pPr>
      <w:suppressAutoHyphens w:val="0"/>
      <w:spacing w:beforeAutospacing="1" w:afterAutospacing="1"/>
    </w:pPr>
    <w:rPr>
      <w:rFonts w:ascii="Times New Roman" w:hAnsi="Times New Roman" w:cs="Times New Roman"/>
      <w:sz w:val="24"/>
      <w:szCs w:val="24"/>
      <w:lang w:eastAsia="it-IT" w:bidi="ar-SA"/>
    </w:rPr>
  </w:style>
  <w:style w:type="paragraph" w:customStyle="1" w:styleId="western">
    <w:name w:val="western"/>
    <w:basedOn w:val="Normale"/>
    <w:qFormat/>
    <w:pPr>
      <w:spacing w:before="280" w:after="119" w:line="100" w:lineRule="atLeast"/>
    </w:pPr>
    <w:rPr>
      <w:rFonts w:ascii="Times New Roman" w:hAnsi="Times New Roman" w:cs="Times New Roman"/>
      <w:color w:val="000000"/>
      <w:sz w:val="20"/>
      <w:lang w:eastAsia="zh-CN" w:bidi="ar-SA"/>
    </w:rPr>
  </w:style>
  <w:style w:type="paragraph" w:customStyle="1" w:styleId="Paragrafoelenco20">
    <w:name w:val="Paragrafo elenco2"/>
    <w:basedOn w:val="Normale"/>
    <w:qFormat/>
    <w:pPr>
      <w:spacing w:before="0"/>
      <w:ind w:left="720"/>
      <w:contextualSpacing/>
    </w:pPr>
    <w:rPr>
      <w:rFonts w:ascii="Times New Roman" w:hAnsi="Times New Roman" w:cs="Times New Roman"/>
      <w:sz w:val="20"/>
      <w:lang w:eastAsia="zh-CN" w:bidi="ar-SA"/>
    </w:rPr>
  </w:style>
  <w:style w:type="paragraph" w:customStyle="1" w:styleId="Titolo80">
    <w:name w:val="Titolo8"/>
    <w:basedOn w:val="Normale"/>
    <w:qFormat/>
    <w:pPr>
      <w:keepNext/>
      <w:spacing w:before="240" w:after="120"/>
    </w:pPr>
    <w:rPr>
      <w:rFonts w:ascii="Arial" w:eastAsia="Microsoft YaHei" w:hAnsi="Arial" w:cs="Mangal"/>
      <w:sz w:val="28"/>
      <w:szCs w:val="28"/>
      <w:lang w:eastAsia="zh-CN" w:bidi="ar-SA"/>
    </w:rPr>
  </w:style>
  <w:style w:type="paragraph" w:customStyle="1" w:styleId="Titolo7">
    <w:name w:val="Titolo7"/>
    <w:basedOn w:val="Normale"/>
    <w:qFormat/>
    <w:pPr>
      <w:keepNext/>
      <w:spacing w:before="240" w:after="120"/>
    </w:pPr>
    <w:rPr>
      <w:rFonts w:ascii="Arial" w:eastAsia="Microsoft YaHei" w:hAnsi="Arial" w:cs="Mangal"/>
      <w:sz w:val="28"/>
      <w:szCs w:val="28"/>
      <w:lang w:eastAsia="zh-CN" w:bidi="ar-SA"/>
    </w:rPr>
  </w:style>
  <w:style w:type="paragraph" w:customStyle="1" w:styleId="Titolo60">
    <w:name w:val="Titolo6"/>
    <w:basedOn w:val="Normale"/>
    <w:qFormat/>
    <w:pPr>
      <w:keepNext/>
      <w:spacing w:before="240" w:after="120"/>
    </w:pPr>
    <w:rPr>
      <w:rFonts w:ascii="Liberation Sans" w:eastAsia="Microsoft YaHei" w:hAnsi="Liberation Sans" w:cs="Mangal"/>
      <w:sz w:val="28"/>
      <w:szCs w:val="28"/>
      <w:lang w:eastAsia="zh-CN" w:bidi="ar-SA"/>
    </w:rPr>
  </w:style>
  <w:style w:type="paragraph" w:customStyle="1" w:styleId="Titolo50">
    <w:name w:val="Titolo5"/>
    <w:basedOn w:val="Normale"/>
    <w:qFormat/>
    <w:pPr>
      <w:keepNext/>
      <w:spacing w:before="240" w:after="120"/>
    </w:pPr>
    <w:rPr>
      <w:rFonts w:ascii="Liberation Sans" w:eastAsia="Microsoft YaHei" w:hAnsi="Liberation Sans" w:cs="Mangal"/>
      <w:sz w:val="28"/>
      <w:szCs w:val="28"/>
      <w:lang w:eastAsia="zh-CN" w:bidi="ar-SA"/>
    </w:rPr>
  </w:style>
  <w:style w:type="paragraph" w:customStyle="1" w:styleId="Titolo40">
    <w:name w:val="Titolo4"/>
    <w:basedOn w:val="Normale"/>
    <w:qFormat/>
    <w:pPr>
      <w:spacing w:before="240" w:after="60"/>
      <w:jc w:val="center"/>
    </w:pPr>
    <w:rPr>
      <w:rFonts w:ascii="Cambria" w:eastAsia="SimSun" w:hAnsi="Cambria" w:cs="Cambria"/>
      <w:b/>
      <w:bCs/>
      <w:sz w:val="32"/>
      <w:szCs w:val="32"/>
      <w:lang w:eastAsia="zh-CN" w:bidi="ar-SA"/>
    </w:rPr>
  </w:style>
  <w:style w:type="paragraph" w:customStyle="1" w:styleId="Titolo30">
    <w:name w:val="Titolo3"/>
    <w:basedOn w:val="Normale"/>
    <w:qFormat/>
    <w:pPr>
      <w:keepNext/>
      <w:spacing w:before="240" w:after="120"/>
    </w:pPr>
    <w:rPr>
      <w:rFonts w:ascii="Liberation Sans" w:eastAsia="Microsoft YaHei" w:hAnsi="Liberation Sans" w:cs="Mangal"/>
      <w:sz w:val="28"/>
      <w:szCs w:val="28"/>
      <w:lang w:eastAsia="zh-CN" w:bidi="ar-SA"/>
    </w:rPr>
  </w:style>
  <w:style w:type="paragraph" w:customStyle="1" w:styleId="Corpodeltesto22">
    <w:name w:val="Corpo del testo 22"/>
    <w:basedOn w:val="Normale"/>
    <w:qFormat/>
    <w:pPr>
      <w:spacing w:before="0" w:after="120" w:line="480" w:lineRule="auto"/>
    </w:pPr>
    <w:rPr>
      <w:rFonts w:ascii="Times New Roman" w:eastAsia="SimSun" w:hAnsi="Times New Roman"/>
      <w:sz w:val="20"/>
      <w:lang w:eastAsia="zh-CN" w:bidi="ar-SA"/>
    </w:rPr>
  </w:style>
  <w:style w:type="paragraph" w:customStyle="1" w:styleId="Testocommento1">
    <w:name w:val="Testo commento1"/>
    <w:basedOn w:val="Normale"/>
    <w:qFormat/>
    <w:pPr>
      <w:spacing w:before="0"/>
    </w:pPr>
    <w:rPr>
      <w:rFonts w:ascii="Times New Roman" w:eastAsia="SimSun" w:hAnsi="Times New Roman"/>
      <w:sz w:val="20"/>
      <w:lang w:eastAsia="zh-CN" w:bidi="ar-SA"/>
    </w:rPr>
  </w:style>
  <w:style w:type="paragraph" w:customStyle="1" w:styleId="Testofumetto1">
    <w:name w:val="Testo fumetto1"/>
    <w:basedOn w:val="Normale"/>
    <w:qFormat/>
    <w:pPr>
      <w:spacing w:before="0"/>
    </w:pPr>
    <w:rPr>
      <w:rFonts w:ascii="Tahoma" w:eastAsia="Calibri" w:hAnsi="Tahoma" w:cs="Tahoma"/>
      <w:sz w:val="16"/>
      <w:szCs w:val="16"/>
      <w:lang w:eastAsia="zh-CN" w:bidi="ar-SA"/>
    </w:rPr>
  </w:style>
  <w:style w:type="paragraph" w:customStyle="1" w:styleId="NormaleWeb2">
    <w:name w:val="Normale (Web)2"/>
    <w:basedOn w:val="Normale"/>
    <w:qFormat/>
    <w:pPr>
      <w:spacing w:before="0" w:after="280"/>
    </w:pPr>
    <w:rPr>
      <w:rFonts w:eastAsia="Calibri"/>
      <w:sz w:val="24"/>
      <w:lang w:eastAsia="ja-JP" w:bidi="ar-SA"/>
    </w:rPr>
  </w:style>
  <w:style w:type="paragraph" w:customStyle="1" w:styleId="Nessunaspaziatura10">
    <w:name w:val="Nessuna spaziatura1"/>
    <w:qFormat/>
    <w:pPr>
      <w:suppressAutoHyphens/>
    </w:pPr>
    <w:rPr>
      <w:rFonts w:ascii="Calibri" w:eastAsia="Times New Roman" w:hAnsi="Calibri" w:cs="Calibri"/>
      <w:sz w:val="22"/>
      <w:szCs w:val="22"/>
      <w:lang w:eastAsia="zh-CN"/>
    </w:rPr>
  </w:style>
  <w:style w:type="paragraph" w:customStyle="1" w:styleId="Testonormale2">
    <w:name w:val="Testo normale2"/>
    <w:basedOn w:val="Normale"/>
    <w:qFormat/>
    <w:pPr>
      <w:spacing w:before="0"/>
    </w:pPr>
    <w:rPr>
      <w:rFonts w:ascii="Courier New" w:eastAsia="SimSun" w:hAnsi="Courier New" w:cs="Courier New"/>
      <w:sz w:val="20"/>
      <w:lang w:eastAsia="ja-JP" w:bidi="ar-SA"/>
    </w:rPr>
  </w:style>
  <w:style w:type="paragraph" w:customStyle="1" w:styleId="Soggettocommento2">
    <w:name w:val="Soggetto commento2"/>
    <w:basedOn w:val="Testocommento1"/>
    <w:qFormat/>
    <w:rPr>
      <w:rFonts w:ascii="Verdana" w:eastAsia="Calibri" w:hAnsi="Verdana" w:cs="Verdana"/>
      <w:b/>
      <w:bCs/>
    </w:rPr>
  </w:style>
  <w:style w:type="paragraph" w:customStyle="1" w:styleId="Titoloindicefonti1">
    <w:name w:val="Titolo indice fonti1"/>
    <w:basedOn w:val="Normale"/>
    <w:qFormat/>
    <w:pPr>
      <w:keepNext/>
      <w:suppressLineNumbers/>
      <w:spacing w:before="240" w:after="120"/>
      <w:jc w:val="center"/>
    </w:pPr>
    <w:rPr>
      <w:rFonts w:ascii="Liberation Sans" w:eastAsia="Microsoft YaHei" w:hAnsi="Liberation Sans" w:cs="Mangal"/>
      <w:b/>
      <w:bCs/>
      <w:sz w:val="32"/>
      <w:szCs w:val="32"/>
      <w:lang w:eastAsia="zh-CN" w:bidi="ar-SA"/>
    </w:rPr>
  </w:style>
  <w:style w:type="paragraph" w:customStyle="1" w:styleId="Iniziomodulo-z10">
    <w:name w:val="Inizio modulo -z1"/>
    <w:basedOn w:val="Normale"/>
    <w:qFormat/>
    <w:pPr>
      <w:pBdr>
        <w:bottom w:val="single" w:sz="6" w:space="1" w:color="000001"/>
      </w:pBdr>
      <w:spacing w:before="0"/>
      <w:jc w:val="center"/>
    </w:pPr>
    <w:rPr>
      <w:rFonts w:ascii="Arial" w:eastAsia="SimSun" w:hAnsi="Arial" w:cs="Arial"/>
      <w:vanish/>
      <w:sz w:val="16"/>
      <w:szCs w:val="16"/>
      <w:lang w:eastAsia="zh-CN"/>
    </w:rPr>
  </w:style>
  <w:style w:type="paragraph" w:customStyle="1" w:styleId="Finemodulo-z10">
    <w:name w:val="Fine modulo -z1"/>
    <w:basedOn w:val="Normale"/>
    <w:qFormat/>
    <w:pPr>
      <w:pBdr>
        <w:top w:val="single" w:sz="6" w:space="1" w:color="000001"/>
      </w:pBdr>
      <w:spacing w:before="0"/>
      <w:jc w:val="center"/>
    </w:pPr>
    <w:rPr>
      <w:rFonts w:ascii="Arial" w:eastAsia="SimSun" w:hAnsi="Arial" w:cs="Arial"/>
      <w:vanish/>
      <w:sz w:val="16"/>
      <w:szCs w:val="16"/>
      <w:lang w:eastAsia="zh-CN"/>
    </w:rPr>
  </w:style>
  <w:style w:type="paragraph" w:customStyle="1" w:styleId="Titoloindicefonti11">
    <w:name w:val="Titolo indice fonti11"/>
    <w:basedOn w:val="Titolo1"/>
    <w:qFormat/>
    <w:pPr>
      <w:numPr>
        <w:numId w:val="0"/>
      </w:numPr>
      <w:spacing w:line="276" w:lineRule="auto"/>
      <w:jc w:val="left"/>
    </w:pPr>
    <w:rPr>
      <w:rFonts w:eastAsia="SimSun"/>
      <w:bCs/>
      <w:smallCaps w:val="0"/>
      <w:color w:val="365F91"/>
      <w:sz w:val="28"/>
      <w:szCs w:val="28"/>
      <w:lang w:eastAsia="zh-CN" w:bidi="ar-SA"/>
    </w:rPr>
  </w:style>
  <w:style w:type="paragraph" w:customStyle="1" w:styleId="Mappadocumento1">
    <w:name w:val="Mappa documento1"/>
    <w:basedOn w:val="Normale"/>
    <w:qFormat/>
    <w:pPr>
      <w:spacing w:before="0"/>
    </w:pPr>
    <w:rPr>
      <w:rFonts w:ascii="Lucida Grande" w:eastAsia="Calibri" w:hAnsi="Lucida Grande" w:cs="Lucida Grande"/>
      <w:color w:val="000000"/>
      <w:sz w:val="24"/>
      <w:szCs w:val="24"/>
      <w:lang w:eastAsia="zh-CN" w:bidi="ar-SA"/>
    </w:rPr>
  </w:style>
  <w:style w:type="paragraph" w:customStyle="1" w:styleId="01Titolino01Capitolo">
    <w:name w:val="01_Titolino (01_Capitolo)"/>
    <w:basedOn w:val="Normale"/>
    <w:qFormat/>
    <w:pPr>
      <w:widowControl w:val="0"/>
      <w:spacing w:before="0" w:line="240" w:lineRule="atLeast"/>
      <w:textAlignment w:val="center"/>
    </w:pPr>
    <w:rPr>
      <w:rFonts w:ascii="Arial Black" w:hAnsi="Arial Black" w:cs="Times New Roman"/>
      <w:i/>
      <w:color w:val="000000"/>
      <w:sz w:val="20"/>
      <w:lang w:eastAsia="it-IT" w:bidi="ar-SA"/>
    </w:rPr>
  </w:style>
  <w:style w:type="paragraph" w:customStyle="1" w:styleId="TableParagraph">
    <w:name w:val="Table Paragraph"/>
    <w:basedOn w:val="Normale"/>
    <w:qFormat/>
    <w:pPr>
      <w:spacing w:before="0"/>
    </w:pPr>
    <w:rPr>
      <w:rFonts w:ascii="Arial" w:eastAsia="Arial" w:hAnsi="Arial" w:cs="Arial"/>
      <w:szCs w:val="22"/>
      <w:lang w:eastAsia="ar-SA" w:bidi="ar-SA"/>
    </w:rPr>
  </w:style>
  <w:style w:type="paragraph" w:customStyle="1" w:styleId="Notaapidipagina">
    <w:name w:val="Nota a piè di pagina"/>
    <w:basedOn w:val="Normale"/>
  </w:style>
  <w:style w:type="table" w:customStyle="1" w:styleId="Tabellasemplice-11">
    <w:name w:val="Tabella semplice - 11"/>
    <w:basedOn w:val="Tabellanormale"/>
    <w:uiPriority w:val="41"/>
    <w:rPr>
      <w:rFonts w:asciiTheme="minorHAnsi" w:eastAsiaTheme="minorHAnsi" w:hAnsiTheme="minorHAnsi" w:cstheme="minorBidi"/>
      <w:sz w:val="22"/>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gliachiara-Colore51">
    <w:name w:val="Griglia chiara - Colore 51"/>
    <w:basedOn w:val="Tabellanormale"/>
    <w:uiPriority w:val="62"/>
    <w:rPr>
      <w:sz w:val="22"/>
      <w:szCs w:val="22"/>
      <w:lang w:eastAsia="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b/>
        <w:bCs/>
      </w:rPr>
    </w:tblStylePr>
    <w:tblStylePr w:type="lastCol">
      <w:rPr>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Grigliatabella1">
    <w:name w:val="Griglia tabella1"/>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CC99"/>
    </w:tcPr>
  </w:style>
  <w:style w:type="table" w:customStyle="1" w:styleId="Grigliatabella2">
    <w:name w:val="Griglia tabella2"/>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medio1-Colore51">
    <w:name w:val="Elenco medio 1 - Colore 51"/>
    <w:basedOn w:val="Tabellanormale"/>
    <w:uiPriority w:val="65"/>
    <w:rPr>
      <w:color w:val="000000"/>
    </w:rPr>
    <w:tblPr>
      <w:tblBorders>
        <w:top w:val="single" w:sz="8" w:space="0" w:color="4BACC6"/>
        <w:bottom w:val="single" w:sz="8" w:space="0" w:color="4BACC6"/>
      </w:tblBorders>
    </w:tblPr>
    <w:tblStylePr w:type="firstRow">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Elencomedio2-Colore51">
    <w:name w:val="Elenco medio 2 - Colore 51"/>
    <w:basedOn w:val="Tabellanormale"/>
    <w:uiPriority w:val="66"/>
    <w:rPr>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Elencochiaro-Colore51">
    <w:name w:val="Elenco chiaro - Colore 51"/>
    <w:basedOn w:val="Tabellanormale"/>
    <w:uiPriority w:val="61"/>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fondomedio1-Colore51">
    <w:name w:val="Sfondo medio 1 - Colore 51"/>
    <w:basedOn w:val="Tabellanormale"/>
    <w:uiPriority w:val="63"/>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gliatabella4">
    <w:name w:val="Griglia tabella4"/>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pPr>
      <w:spacing w:line="1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315DEF"/>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5125">
      <w:bodyDiv w:val="1"/>
      <w:marLeft w:val="0"/>
      <w:marRight w:val="0"/>
      <w:marTop w:val="0"/>
      <w:marBottom w:val="0"/>
      <w:divBdr>
        <w:top w:val="none" w:sz="0" w:space="0" w:color="auto"/>
        <w:left w:val="none" w:sz="0" w:space="0" w:color="auto"/>
        <w:bottom w:val="none" w:sz="0" w:space="0" w:color="auto"/>
        <w:right w:val="none" w:sz="0" w:space="0" w:color="auto"/>
      </w:divBdr>
    </w:div>
    <w:div w:id="191841627">
      <w:bodyDiv w:val="1"/>
      <w:marLeft w:val="0"/>
      <w:marRight w:val="0"/>
      <w:marTop w:val="0"/>
      <w:marBottom w:val="0"/>
      <w:divBdr>
        <w:top w:val="none" w:sz="0" w:space="0" w:color="auto"/>
        <w:left w:val="none" w:sz="0" w:space="0" w:color="auto"/>
        <w:bottom w:val="none" w:sz="0" w:space="0" w:color="auto"/>
        <w:right w:val="none" w:sz="0" w:space="0" w:color="auto"/>
      </w:divBdr>
    </w:div>
    <w:div w:id="197815985">
      <w:bodyDiv w:val="1"/>
      <w:marLeft w:val="0"/>
      <w:marRight w:val="0"/>
      <w:marTop w:val="0"/>
      <w:marBottom w:val="0"/>
      <w:divBdr>
        <w:top w:val="none" w:sz="0" w:space="0" w:color="auto"/>
        <w:left w:val="none" w:sz="0" w:space="0" w:color="auto"/>
        <w:bottom w:val="none" w:sz="0" w:space="0" w:color="auto"/>
        <w:right w:val="none" w:sz="0" w:space="0" w:color="auto"/>
      </w:divBdr>
    </w:div>
    <w:div w:id="249967977">
      <w:bodyDiv w:val="1"/>
      <w:marLeft w:val="0"/>
      <w:marRight w:val="0"/>
      <w:marTop w:val="0"/>
      <w:marBottom w:val="0"/>
      <w:divBdr>
        <w:top w:val="none" w:sz="0" w:space="0" w:color="auto"/>
        <w:left w:val="none" w:sz="0" w:space="0" w:color="auto"/>
        <w:bottom w:val="none" w:sz="0" w:space="0" w:color="auto"/>
        <w:right w:val="none" w:sz="0" w:space="0" w:color="auto"/>
      </w:divBdr>
    </w:div>
    <w:div w:id="292515769">
      <w:bodyDiv w:val="1"/>
      <w:marLeft w:val="0"/>
      <w:marRight w:val="0"/>
      <w:marTop w:val="0"/>
      <w:marBottom w:val="0"/>
      <w:divBdr>
        <w:top w:val="none" w:sz="0" w:space="0" w:color="auto"/>
        <w:left w:val="none" w:sz="0" w:space="0" w:color="auto"/>
        <w:bottom w:val="none" w:sz="0" w:space="0" w:color="auto"/>
        <w:right w:val="none" w:sz="0" w:space="0" w:color="auto"/>
      </w:divBdr>
    </w:div>
    <w:div w:id="323896869">
      <w:bodyDiv w:val="1"/>
      <w:marLeft w:val="0"/>
      <w:marRight w:val="0"/>
      <w:marTop w:val="0"/>
      <w:marBottom w:val="0"/>
      <w:divBdr>
        <w:top w:val="none" w:sz="0" w:space="0" w:color="auto"/>
        <w:left w:val="none" w:sz="0" w:space="0" w:color="auto"/>
        <w:bottom w:val="none" w:sz="0" w:space="0" w:color="auto"/>
        <w:right w:val="none" w:sz="0" w:space="0" w:color="auto"/>
      </w:divBdr>
    </w:div>
    <w:div w:id="335764759">
      <w:bodyDiv w:val="1"/>
      <w:marLeft w:val="0"/>
      <w:marRight w:val="0"/>
      <w:marTop w:val="0"/>
      <w:marBottom w:val="0"/>
      <w:divBdr>
        <w:top w:val="none" w:sz="0" w:space="0" w:color="auto"/>
        <w:left w:val="none" w:sz="0" w:space="0" w:color="auto"/>
        <w:bottom w:val="none" w:sz="0" w:space="0" w:color="auto"/>
        <w:right w:val="none" w:sz="0" w:space="0" w:color="auto"/>
      </w:divBdr>
    </w:div>
    <w:div w:id="339624546">
      <w:bodyDiv w:val="1"/>
      <w:marLeft w:val="0"/>
      <w:marRight w:val="0"/>
      <w:marTop w:val="0"/>
      <w:marBottom w:val="0"/>
      <w:divBdr>
        <w:top w:val="none" w:sz="0" w:space="0" w:color="auto"/>
        <w:left w:val="none" w:sz="0" w:space="0" w:color="auto"/>
        <w:bottom w:val="none" w:sz="0" w:space="0" w:color="auto"/>
        <w:right w:val="none" w:sz="0" w:space="0" w:color="auto"/>
      </w:divBdr>
    </w:div>
    <w:div w:id="421996642">
      <w:bodyDiv w:val="1"/>
      <w:marLeft w:val="0"/>
      <w:marRight w:val="0"/>
      <w:marTop w:val="0"/>
      <w:marBottom w:val="0"/>
      <w:divBdr>
        <w:top w:val="none" w:sz="0" w:space="0" w:color="auto"/>
        <w:left w:val="none" w:sz="0" w:space="0" w:color="auto"/>
        <w:bottom w:val="none" w:sz="0" w:space="0" w:color="auto"/>
        <w:right w:val="none" w:sz="0" w:space="0" w:color="auto"/>
      </w:divBdr>
    </w:div>
    <w:div w:id="542718901">
      <w:bodyDiv w:val="1"/>
      <w:marLeft w:val="0"/>
      <w:marRight w:val="0"/>
      <w:marTop w:val="0"/>
      <w:marBottom w:val="0"/>
      <w:divBdr>
        <w:top w:val="none" w:sz="0" w:space="0" w:color="auto"/>
        <w:left w:val="none" w:sz="0" w:space="0" w:color="auto"/>
        <w:bottom w:val="none" w:sz="0" w:space="0" w:color="auto"/>
        <w:right w:val="none" w:sz="0" w:space="0" w:color="auto"/>
      </w:divBdr>
    </w:div>
    <w:div w:id="602805265">
      <w:bodyDiv w:val="1"/>
      <w:marLeft w:val="0"/>
      <w:marRight w:val="0"/>
      <w:marTop w:val="0"/>
      <w:marBottom w:val="0"/>
      <w:divBdr>
        <w:top w:val="none" w:sz="0" w:space="0" w:color="auto"/>
        <w:left w:val="none" w:sz="0" w:space="0" w:color="auto"/>
        <w:bottom w:val="none" w:sz="0" w:space="0" w:color="auto"/>
        <w:right w:val="none" w:sz="0" w:space="0" w:color="auto"/>
      </w:divBdr>
    </w:div>
    <w:div w:id="665059691">
      <w:bodyDiv w:val="1"/>
      <w:marLeft w:val="0"/>
      <w:marRight w:val="0"/>
      <w:marTop w:val="0"/>
      <w:marBottom w:val="0"/>
      <w:divBdr>
        <w:top w:val="none" w:sz="0" w:space="0" w:color="auto"/>
        <w:left w:val="none" w:sz="0" w:space="0" w:color="auto"/>
        <w:bottom w:val="none" w:sz="0" w:space="0" w:color="auto"/>
        <w:right w:val="none" w:sz="0" w:space="0" w:color="auto"/>
      </w:divBdr>
    </w:div>
    <w:div w:id="665979224">
      <w:bodyDiv w:val="1"/>
      <w:marLeft w:val="0"/>
      <w:marRight w:val="0"/>
      <w:marTop w:val="0"/>
      <w:marBottom w:val="0"/>
      <w:divBdr>
        <w:top w:val="none" w:sz="0" w:space="0" w:color="auto"/>
        <w:left w:val="none" w:sz="0" w:space="0" w:color="auto"/>
        <w:bottom w:val="none" w:sz="0" w:space="0" w:color="auto"/>
        <w:right w:val="none" w:sz="0" w:space="0" w:color="auto"/>
      </w:divBdr>
    </w:div>
    <w:div w:id="776411947">
      <w:bodyDiv w:val="1"/>
      <w:marLeft w:val="0"/>
      <w:marRight w:val="0"/>
      <w:marTop w:val="0"/>
      <w:marBottom w:val="0"/>
      <w:divBdr>
        <w:top w:val="none" w:sz="0" w:space="0" w:color="auto"/>
        <w:left w:val="none" w:sz="0" w:space="0" w:color="auto"/>
        <w:bottom w:val="none" w:sz="0" w:space="0" w:color="auto"/>
        <w:right w:val="none" w:sz="0" w:space="0" w:color="auto"/>
      </w:divBdr>
    </w:div>
    <w:div w:id="819420544">
      <w:bodyDiv w:val="1"/>
      <w:marLeft w:val="0"/>
      <w:marRight w:val="0"/>
      <w:marTop w:val="0"/>
      <w:marBottom w:val="0"/>
      <w:divBdr>
        <w:top w:val="none" w:sz="0" w:space="0" w:color="auto"/>
        <w:left w:val="none" w:sz="0" w:space="0" w:color="auto"/>
        <w:bottom w:val="none" w:sz="0" w:space="0" w:color="auto"/>
        <w:right w:val="none" w:sz="0" w:space="0" w:color="auto"/>
      </w:divBdr>
    </w:div>
    <w:div w:id="889459109">
      <w:bodyDiv w:val="1"/>
      <w:marLeft w:val="0"/>
      <w:marRight w:val="0"/>
      <w:marTop w:val="0"/>
      <w:marBottom w:val="0"/>
      <w:divBdr>
        <w:top w:val="none" w:sz="0" w:space="0" w:color="auto"/>
        <w:left w:val="none" w:sz="0" w:space="0" w:color="auto"/>
        <w:bottom w:val="none" w:sz="0" w:space="0" w:color="auto"/>
        <w:right w:val="none" w:sz="0" w:space="0" w:color="auto"/>
      </w:divBdr>
    </w:div>
    <w:div w:id="928467077">
      <w:bodyDiv w:val="1"/>
      <w:marLeft w:val="0"/>
      <w:marRight w:val="0"/>
      <w:marTop w:val="0"/>
      <w:marBottom w:val="0"/>
      <w:divBdr>
        <w:top w:val="none" w:sz="0" w:space="0" w:color="auto"/>
        <w:left w:val="none" w:sz="0" w:space="0" w:color="auto"/>
        <w:bottom w:val="none" w:sz="0" w:space="0" w:color="auto"/>
        <w:right w:val="none" w:sz="0" w:space="0" w:color="auto"/>
      </w:divBdr>
    </w:div>
    <w:div w:id="947467411">
      <w:bodyDiv w:val="1"/>
      <w:marLeft w:val="0"/>
      <w:marRight w:val="0"/>
      <w:marTop w:val="0"/>
      <w:marBottom w:val="0"/>
      <w:divBdr>
        <w:top w:val="none" w:sz="0" w:space="0" w:color="auto"/>
        <w:left w:val="none" w:sz="0" w:space="0" w:color="auto"/>
        <w:bottom w:val="none" w:sz="0" w:space="0" w:color="auto"/>
        <w:right w:val="none" w:sz="0" w:space="0" w:color="auto"/>
      </w:divBdr>
    </w:div>
    <w:div w:id="1008173015">
      <w:bodyDiv w:val="1"/>
      <w:marLeft w:val="0"/>
      <w:marRight w:val="0"/>
      <w:marTop w:val="0"/>
      <w:marBottom w:val="0"/>
      <w:divBdr>
        <w:top w:val="none" w:sz="0" w:space="0" w:color="auto"/>
        <w:left w:val="none" w:sz="0" w:space="0" w:color="auto"/>
        <w:bottom w:val="none" w:sz="0" w:space="0" w:color="auto"/>
        <w:right w:val="none" w:sz="0" w:space="0" w:color="auto"/>
      </w:divBdr>
    </w:div>
    <w:div w:id="1094397924">
      <w:bodyDiv w:val="1"/>
      <w:marLeft w:val="0"/>
      <w:marRight w:val="0"/>
      <w:marTop w:val="0"/>
      <w:marBottom w:val="0"/>
      <w:divBdr>
        <w:top w:val="none" w:sz="0" w:space="0" w:color="auto"/>
        <w:left w:val="none" w:sz="0" w:space="0" w:color="auto"/>
        <w:bottom w:val="none" w:sz="0" w:space="0" w:color="auto"/>
        <w:right w:val="none" w:sz="0" w:space="0" w:color="auto"/>
      </w:divBdr>
    </w:div>
    <w:div w:id="1104688957">
      <w:bodyDiv w:val="1"/>
      <w:marLeft w:val="0"/>
      <w:marRight w:val="0"/>
      <w:marTop w:val="0"/>
      <w:marBottom w:val="0"/>
      <w:divBdr>
        <w:top w:val="none" w:sz="0" w:space="0" w:color="auto"/>
        <w:left w:val="none" w:sz="0" w:space="0" w:color="auto"/>
        <w:bottom w:val="none" w:sz="0" w:space="0" w:color="auto"/>
        <w:right w:val="none" w:sz="0" w:space="0" w:color="auto"/>
      </w:divBdr>
    </w:div>
    <w:div w:id="1153837753">
      <w:bodyDiv w:val="1"/>
      <w:marLeft w:val="0"/>
      <w:marRight w:val="0"/>
      <w:marTop w:val="0"/>
      <w:marBottom w:val="0"/>
      <w:divBdr>
        <w:top w:val="none" w:sz="0" w:space="0" w:color="auto"/>
        <w:left w:val="none" w:sz="0" w:space="0" w:color="auto"/>
        <w:bottom w:val="none" w:sz="0" w:space="0" w:color="auto"/>
        <w:right w:val="none" w:sz="0" w:space="0" w:color="auto"/>
      </w:divBdr>
    </w:div>
    <w:div w:id="1351376080">
      <w:bodyDiv w:val="1"/>
      <w:marLeft w:val="0"/>
      <w:marRight w:val="0"/>
      <w:marTop w:val="0"/>
      <w:marBottom w:val="0"/>
      <w:divBdr>
        <w:top w:val="none" w:sz="0" w:space="0" w:color="auto"/>
        <w:left w:val="none" w:sz="0" w:space="0" w:color="auto"/>
        <w:bottom w:val="none" w:sz="0" w:space="0" w:color="auto"/>
        <w:right w:val="none" w:sz="0" w:space="0" w:color="auto"/>
      </w:divBdr>
    </w:div>
    <w:div w:id="1490554307">
      <w:bodyDiv w:val="1"/>
      <w:marLeft w:val="0"/>
      <w:marRight w:val="0"/>
      <w:marTop w:val="0"/>
      <w:marBottom w:val="0"/>
      <w:divBdr>
        <w:top w:val="none" w:sz="0" w:space="0" w:color="auto"/>
        <w:left w:val="none" w:sz="0" w:space="0" w:color="auto"/>
        <w:bottom w:val="none" w:sz="0" w:space="0" w:color="auto"/>
        <w:right w:val="none" w:sz="0" w:space="0" w:color="auto"/>
      </w:divBdr>
    </w:div>
    <w:div w:id="1538006525">
      <w:bodyDiv w:val="1"/>
      <w:marLeft w:val="0"/>
      <w:marRight w:val="0"/>
      <w:marTop w:val="0"/>
      <w:marBottom w:val="0"/>
      <w:divBdr>
        <w:top w:val="none" w:sz="0" w:space="0" w:color="auto"/>
        <w:left w:val="none" w:sz="0" w:space="0" w:color="auto"/>
        <w:bottom w:val="none" w:sz="0" w:space="0" w:color="auto"/>
        <w:right w:val="none" w:sz="0" w:space="0" w:color="auto"/>
      </w:divBdr>
    </w:div>
    <w:div w:id="1607614541">
      <w:bodyDiv w:val="1"/>
      <w:marLeft w:val="0"/>
      <w:marRight w:val="0"/>
      <w:marTop w:val="0"/>
      <w:marBottom w:val="0"/>
      <w:divBdr>
        <w:top w:val="none" w:sz="0" w:space="0" w:color="auto"/>
        <w:left w:val="none" w:sz="0" w:space="0" w:color="auto"/>
        <w:bottom w:val="none" w:sz="0" w:space="0" w:color="auto"/>
        <w:right w:val="none" w:sz="0" w:space="0" w:color="auto"/>
      </w:divBdr>
    </w:div>
    <w:div w:id="1882666675">
      <w:bodyDiv w:val="1"/>
      <w:marLeft w:val="0"/>
      <w:marRight w:val="0"/>
      <w:marTop w:val="0"/>
      <w:marBottom w:val="0"/>
      <w:divBdr>
        <w:top w:val="none" w:sz="0" w:space="0" w:color="auto"/>
        <w:left w:val="none" w:sz="0" w:space="0" w:color="auto"/>
        <w:bottom w:val="none" w:sz="0" w:space="0" w:color="auto"/>
        <w:right w:val="none" w:sz="0" w:space="0" w:color="auto"/>
      </w:divBdr>
    </w:div>
    <w:div w:id="1886453818">
      <w:bodyDiv w:val="1"/>
      <w:marLeft w:val="0"/>
      <w:marRight w:val="0"/>
      <w:marTop w:val="0"/>
      <w:marBottom w:val="0"/>
      <w:divBdr>
        <w:top w:val="none" w:sz="0" w:space="0" w:color="auto"/>
        <w:left w:val="none" w:sz="0" w:space="0" w:color="auto"/>
        <w:bottom w:val="none" w:sz="0" w:space="0" w:color="auto"/>
        <w:right w:val="none" w:sz="0" w:space="0" w:color="auto"/>
      </w:divBdr>
    </w:div>
    <w:div w:id="2028828844">
      <w:bodyDiv w:val="1"/>
      <w:marLeft w:val="0"/>
      <w:marRight w:val="0"/>
      <w:marTop w:val="0"/>
      <w:marBottom w:val="0"/>
      <w:divBdr>
        <w:top w:val="none" w:sz="0" w:space="0" w:color="auto"/>
        <w:left w:val="none" w:sz="0" w:space="0" w:color="auto"/>
        <w:bottom w:val="none" w:sz="0" w:space="0" w:color="auto"/>
        <w:right w:val="none" w:sz="0" w:space="0" w:color="auto"/>
      </w:divBdr>
    </w:div>
    <w:div w:id="2126996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6.png"/><Relationship Id="rId39" Type="http://schemas.openxmlformats.org/officeDocument/2006/relationships/hyperlink" Target="file:///C:\Users\pagotog\AppData\Local\Temp\Sintesi%20PCA%20Anno%202017.xlsx" TargetMode="External"/><Relationship Id="rId21" Type="http://schemas.openxmlformats.org/officeDocument/2006/relationships/chart" Target="charts/chart9.xml"/><Relationship Id="rId34" Type="http://schemas.openxmlformats.org/officeDocument/2006/relationships/hyperlink" Target="file:///C:\Users\pagotog\AppData\Local\Temp\Sintesi%20PCA%20Anno%202017.xlsx" TargetMode="External"/><Relationship Id="rId42" Type="http://schemas.openxmlformats.org/officeDocument/2006/relationships/hyperlink" Target="file:///C:\Users\pagotog\AppData\Local\Temp\Sintesi%20PCA%20Anno%202017.xlsx" TargetMode="External"/><Relationship Id="rId47" Type="http://schemas.openxmlformats.org/officeDocument/2006/relationships/chart" Target="charts/chart21.xml"/><Relationship Id="rId50" Type="http://schemas.openxmlformats.org/officeDocument/2006/relationships/chart" Target="charts/chart22.xml"/><Relationship Id="rId55" Type="http://schemas.openxmlformats.org/officeDocument/2006/relationships/hyperlink" Target="http://www.ausl.mo.it/trasparenza" TargetMode="External"/><Relationship Id="rId63" Type="http://schemas.openxmlformats.org/officeDocument/2006/relationships/chart" Target="charts/chart28.xm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hyperlink" Target="file:///C:\Users\pagotog\AppData\Local\Temp\Sintesi%20PCA%20Anno%202017.xlsx" TargetMode="External"/><Relationship Id="rId40" Type="http://schemas.openxmlformats.org/officeDocument/2006/relationships/hyperlink" Target="file:///C:\Users\pagotog\AppData\Local\Temp\Sintesi%20PCA%20Anno%202017.xlsx" TargetMode="External"/><Relationship Id="rId45" Type="http://schemas.openxmlformats.org/officeDocument/2006/relationships/chart" Target="charts/chart19.xml"/><Relationship Id="rId53" Type="http://schemas.openxmlformats.org/officeDocument/2006/relationships/image" Target="media/image10.emf"/><Relationship Id="rId58" Type="http://schemas.openxmlformats.org/officeDocument/2006/relationships/image" Target="media/image13.png"/><Relationship Id="rId66" Type="http://schemas.openxmlformats.org/officeDocument/2006/relationships/chart" Target="charts/chart3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hyperlink" Target="file:///C:\Users\pagotog\AppData\Local\Temp\Sintesi%20PCA%20Anno%202017.xlsx" TargetMode="External"/><Relationship Id="rId49" Type="http://schemas.openxmlformats.org/officeDocument/2006/relationships/image" Target="media/image8.png"/><Relationship Id="rId57" Type="http://schemas.openxmlformats.org/officeDocument/2006/relationships/image" Target="media/image12.png"/><Relationship Id="rId61" Type="http://schemas.openxmlformats.org/officeDocument/2006/relationships/chart" Target="charts/chart26.xml"/><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chart" Target="charts/chart17.xml"/><Relationship Id="rId44" Type="http://schemas.openxmlformats.org/officeDocument/2006/relationships/hyperlink" Target="file:///C:\Users\pagotog\AppData\Local\Temp\Sintesi%20PCA%20Anno%202017.xlsx" TargetMode="External"/><Relationship Id="rId52" Type="http://schemas.openxmlformats.org/officeDocument/2006/relationships/chart" Target="charts/chart23.xml"/><Relationship Id="rId60" Type="http://schemas.openxmlformats.org/officeDocument/2006/relationships/chart" Target="charts/chart25.xml"/><Relationship Id="rId65" Type="http://schemas.openxmlformats.org/officeDocument/2006/relationships/chart" Target="charts/chart30.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file:///C:\Users\pagotog\AppData\Local\Temp\Sintesi%20PCA%20Anno%202017.xlsx" TargetMode="External"/><Relationship Id="rId43" Type="http://schemas.openxmlformats.org/officeDocument/2006/relationships/hyperlink" Target="file:///C:\Users\pagotog\AppData\Local\Temp\Sintesi%20PCA%20Anno%202017.xlsx" TargetMode="External"/><Relationship Id="rId48" Type="http://schemas.openxmlformats.org/officeDocument/2006/relationships/image" Target="media/image7.png"/><Relationship Id="rId56" Type="http://schemas.openxmlformats.org/officeDocument/2006/relationships/image" Target="media/image11.png"/><Relationship Id="rId64" Type="http://schemas.openxmlformats.org/officeDocument/2006/relationships/chart" Target="charts/chart29.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image" Target="media/image5.jpeg"/><Relationship Id="rId33" Type="http://schemas.openxmlformats.org/officeDocument/2006/relationships/hyperlink" Target="file:///C:\Users\pagotog\AppData\Local\Temp\Sintesi%20PCA%20Anno%202017.xlsx" TargetMode="External"/><Relationship Id="rId38" Type="http://schemas.openxmlformats.org/officeDocument/2006/relationships/hyperlink" Target="file:///C:\Users\pagotog\AppData\Local\Temp\Sintesi%20PCA%20Anno%202017.xlsx" TargetMode="External"/><Relationship Id="rId46" Type="http://schemas.openxmlformats.org/officeDocument/2006/relationships/chart" Target="charts/chart20.xml"/><Relationship Id="rId59" Type="http://schemas.openxmlformats.org/officeDocument/2006/relationships/chart" Target="charts/chart24.xml"/><Relationship Id="rId67"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hyperlink" Target="file:///C:\Users\pagotog\AppData\Local\Temp\Sintesi%20PCA%20Anno%202017.xlsx" TargetMode="External"/><Relationship Id="rId54" Type="http://schemas.openxmlformats.org/officeDocument/2006/relationships/hyperlink" Target="http://www.ausl.mo.it/whistleblowing" TargetMode="External"/><Relationship Id="rId62" Type="http://schemas.openxmlformats.org/officeDocument/2006/relationships/chart" Target="charts/chart27.xm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eborae\Documents\performance%20management\Relazione%20Performance%202017\INSIDER%20PDP%202017%20(completo).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agotog\Desktop\Documenti%20Lavoro\Relazione%20sulla%20Performance\RsP%202017\Grafici%20e%20tabelle%20RsP%202017.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reborae\Documents\performance%20management\Relazione%20Performance%202017\INSIDER%20PDP%202017%20(completo).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pagotog\Desktop\Documenti%20Lavoro\Dir%20Amm.vo\Costi%20Pro%20capite%202015-2016\Grafici%20costi%20pro%20capite.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pagotog\Desktop\Documenti%20Lavoro\Dir%20Amm.vo\Costi%20Pro%20capite%202015-2016\Grafici%20costi%20pro%20capite.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27.xml.rels><?xml version="1.0" encoding="UTF-8" standalone="yes"?>
<Relationships xmlns="http://schemas.openxmlformats.org/package/2006/relationships"><Relationship Id="rId3" Type="http://schemas.openxmlformats.org/officeDocument/2006/relationships/oleObject" Target="file:///C:\Users\pagotog\Desktop\Documenti%20Lavoro\Dir%20Amm.vo\CTSS\Relazione%20al%20consuntivo%202017\Tab%20e%20grafici%20rel%20al%20consuntivo%202017.xlsx" TargetMode="External"/><Relationship Id="rId2" Type="http://schemas.microsoft.com/office/2011/relationships/chartColorStyle" Target="colors24.xml"/><Relationship Id="rId1" Type="http://schemas.microsoft.com/office/2011/relationships/chartStyle" Target="style24.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agotog\Desktop\Documenti%20Lavoro\Dir%20Amm.vo\CTSS\Relazione%20al%20consuntivo%202017\Tab%20e%20grafici%20rel%20al%20consuntivo%202017.xlsx" TargetMode="External"/><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28.xml"/><Relationship Id="rId1" Type="http://schemas.microsoft.com/office/2011/relationships/chartStyle" Target="style28.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agotog\Desktop\Documenti%20Lavoro\Relazione%20sulla%20Performance\RsP%202017\Grafici%20e%20tabelle%20RsP%202017.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Sintesi valutazione indicatori INSIDER PdP 2017
Azienda USL di Modena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dPt>
          <c:dPt>
            <c:idx val="1"/>
            <c:invertIfNegative val="0"/>
            <c:bubble3D val="0"/>
            <c:spPr>
              <a:solidFill>
                <a:srgbClr val="92D050"/>
              </a:solidFill>
              <a:ln>
                <a:noFill/>
              </a:ln>
              <a:effectLst/>
            </c:spPr>
          </c:dPt>
          <c:dPt>
            <c:idx val="2"/>
            <c:invertIfNegative val="0"/>
            <c:bubble3D val="0"/>
            <c:spPr>
              <a:solidFill>
                <a:srgbClr val="FFFF00"/>
              </a:solidFill>
              <a:ln>
                <a:noFill/>
              </a:ln>
              <a:effectLst/>
            </c:spPr>
          </c:dPt>
          <c:dPt>
            <c:idx val="3"/>
            <c:invertIfNegative val="0"/>
            <c:bubble3D val="0"/>
            <c:spPr>
              <a:solidFill>
                <a:srgbClr val="FF0066"/>
              </a:solidFill>
              <a:ln>
                <a:noFill/>
              </a:ln>
              <a:effectLst/>
            </c:spPr>
          </c:dPt>
          <c:dPt>
            <c:idx val="4"/>
            <c:invertIfNegative val="0"/>
            <c:bubble3D val="0"/>
            <c:spPr>
              <a:solidFill>
                <a:srgbClr val="00206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Foglio1!$F$2:$F$6</c:f>
              <c:strCache>
                <c:ptCount val="5"/>
                <c:pt idx="0">
                  <c:v>ottimo</c:v>
                </c:pt>
                <c:pt idx="1">
                  <c:v>buono</c:v>
                </c:pt>
                <c:pt idx="2">
                  <c:v>medio</c:v>
                </c:pt>
                <c:pt idx="3">
                  <c:v>non valutato</c:v>
                </c:pt>
                <c:pt idx="4">
                  <c:v>osservazionale</c:v>
                </c:pt>
              </c:strCache>
            </c:strRef>
          </c:cat>
          <c:val>
            <c:numRef>
              <c:f>Foglio1!$E$2:$E$6</c:f>
              <c:numCache>
                <c:formatCode>General</c:formatCode>
                <c:ptCount val="5"/>
                <c:pt idx="0">
                  <c:v>18</c:v>
                </c:pt>
                <c:pt idx="1">
                  <c:v>10</c:v>
                </c:pt>
                <c:pt idx="2">
                  <c:v>8</c:v>
                </c:pt>
                <c:pt idx="3">
                  <c:v>16</c:v>
                </c:pt>
                <c:pt idx="4">
                  <c:v>22</c:v>
                </c:pt>
              </c:numCache>
            </c:numRef>
          </c:val>
        </c:ser>
        <c:dLbls>
          <c:showLegendKey val="0"/>
          <c:showVal val="0"/>
          <c:showCatName val="0"/>
          <c:showSerName val="0"/>
          <c:showPercent val="0"/>
          <c:showBubbleSize val="0"/>
        </c:dLbls>
        <c:gapWidth val="219"/>
        <c:overlap val="-27"/>
        <c:axId val="560677512"/>
        <c:axId val="560677904"/>
      </c:barChart>
      <c:catAx>
        <c:axId val="56067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77904"/>
        <c:crosses val="autoZero"/>
        <c:auto val="1"/>
        <c:lblAlgn val="ctr"/>
        <c:lblOffset val="100"/>
        <c:noMultiLvlLbl val="0"/>
      </c:catAx>
      <c:valAx>
        <c:axId val="56067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77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OSCO</a:t>
            </a:r>
            <a:r>
              <a:rPr lang="it-IT" baseline="0"/>
              <a:t> - Dimessi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OSCO!$C$2</c:f>
              <c:strCache>
                <c:ptCount val="1"/>
                <c:pt idx="0">
                  <c:v>Anno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OSCO!$B$3:$B$5</c:f>
              <c:strCache>
                <c:ptCount val="3"/>
                <c:pt idx="0">
                  <c:v>FANANO</c:v>
                </c:pt>
                <c:pt idx="1">
                  <c:v>CASTELFRANCO EMILIA</c:v>
                </c:pt>
                <c:pt idx="2">
                  <c:v>PROVINCIA DI MODENA</c:v>
                </c:pt>
              </c:strCache>
            </c:strRef>
          </c:cat>
          <c:val>
            <c:numRef>
              <c:f>OSCO!$C$3:$C$5</c:f>
              <c:numCache>
                <c:formatCode>General</c:formatCode>
                <c:ptCount val="3"/>
                <c:pt idx="0">
                  <c:v>177</c:v>
                </c:pt>
                <c:pt idx="1">
                  <c:v>254</c:v>
                </c:pt>
                <c:pt idx="2">
                  <c:v>431</c:v>
                </c:pt>
              </c:numCache>
            </c:numRef>
          </c:val>
        </c:ser>
        <c:ser>
          <c:idx val="1"/>
          <c:order val="1"/>
          <c:tx>
            <c:strRef>
              <c:f>OSCO!$D$2</c:f>
              <c:strCache>
                <c:ptCount val="1"/>
                <c:pt idx="0">
                  <c:v>Anno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OSCO!$B$3:$B$5</c:f>
              <c:strCache>
                <c:ptCount val="3"/>
                <c:pt idx="0">
                  <c:v>FANANO</c:v>
                </c:pt>
                <c:pt idx="1">
                  <c:v>CASTELFRANCO EMILIA</c:v>
                </c:pt>
                <c:pt idx="2">
                  <c:v>PROVINCIA DI MODENA</c:v>
                </c:pt>
              </c:strCache>
            </c:strRef>
          </c:cat>
          <c:val>
            <c:numRef>
              <c:f>OSCO!$D$3:$D$5</c:f>
              <c:numCache>
                <c:formatCode>General</c:formatCode>
                <c:ptCount val="3"/>
                <c:pt idx="0">
                  <c:v>197</c:v>
                </c:pt>
                <c:pt idx="1">
                  <c:v>218</c:v>
                </c:pt>
                <c:pt idx="2">
                  <c:v>415</c:v>
                </c:pt>
              </c:numCache>
            </c:numRef>
          </c:val>
        </c:ser>
        <c:dLbls>
          <c:dLblPos val="outEnd"/>
          <c:showLegendKey val="0"/>
          <c:showVal val="1"/>
          <c:showCatName val="0"/>
          <c:showSerName val="0"/>
          <c:showPercent val="0"/>
          <c:showBubbleSize val="0"/>
        </c:dLbls>
        <c:gapWidth val="219"/>
        <c:overlap val="-27"/>
        <c:axId val="502676216"/>
        <c:axId val="502673864"/>
      </c:barChart>
      <c:catAx>
        <c:axId val="50267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673864"/>
        <c:crosses val="autoZero"/>
        <c:auto val="1"/>
        <c:lblAlgn val="ctr"/>
        <c:lblOffset val="100"/>
        <c:noMultiLvlLbl val="0"/>
      </c:catAx>
      <c:valAx>
        <c:axId val="50267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676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OSCO - Degenza Media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OSCO!$C$9</c:f>
              <c:strCache>
                <c:ptCount val="1"/>
                <c:pt idx="0">
                  <c:v>Anno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OSCO!$B$10:$B$12</c:f>
              <c:strCache>
                <c:ptCount val="3"/>
                <c:pt idx="0">
                  <c:v>FANANO</c:v>
                </c:pt>
                <c:pt idx="1">
                  <c:v>CASTELFRANCO EMILIA</c:v>
                </c:pt>
                <c:pt idx="2">
                  <c:v>PROVINCIA DI MODENA</c:v>
                </c:pt>
              </c:strCache>
            </c:strRef>
          </c:cat>
          <c:val>
            <c:numRef>
              <c:f>OSCO!$C$10:$C$12</c:f>
              <c:numCache>
                <c:formatCode>0.0</c:formatCode>
                <c:ptCount val="3"/>
                <c:pt idx="0">
                  <c:v>21.774011299435028</c:v>
                </c:pt>
                <c:pt idx="1">
                  <c:v>17.555118110236222</c:v>
                </c:pt>
                <c:pt idx="2">
                  <c:v>19.287703016241299</c:v>
                </c:pt>
              </c:numCache>
            </c:numRef>
          </c:val>
        </c:ser>
        <c:ser>
          <c:idx val="1"/>
          <c:order val="1"/>
          <c:tx>
            <c:strRef>
              <c:f>OSCO!$D$9</c:f>
              <c:strCache>
                <c:ptCount val="1"/>
                <c:pt idx="0">
                  <c:v>Anno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OSCO!$B$10:$B$12</c:f>
              <c:strCache>
                <c:ptCount val="3"/>
                <c:pt idx="0">
                  <c:v>FANANO</c:v>
                </c:pt>
                <c:pt idx="1">
                  <c:v>CASTELFRANCO EMILIA</c:v>
                </c:pt>
                <c:pt idx="2">
                  <c:v>PROVINCIA DI MODENA</c:v>
                </c:pt>
              </c:strCache>
            </c:strRef>
          </c:cat>
          <c:val>
            <c:numRef>
              <c:f>OSCO!$D$10:$D$12</c:f>
              <c:numCache>
                <c:formatCode>0.0</c:formatCode>
                <c:ptCount val="3"/>
                <c:pt idx="0">
                  <c:v>19.649746192893399</c:v>
                </c:pt>
                <c:pt idx="1">
                  <c:v>20.215596330275229</c:v>
                </c:pt>
                <c:pt idx="2">
                  <c:v>19.94698795180723</c:v>
                </c:pt>
              </c:numCache>
            </c:numRef>
          </c:val>
        </c:ser>
        <c:dLbls>
          <c:dLblPos val="outEnd"/>
          <c:showLegendKey val="0"/>
          <c:showVal val="1"/>
          <c:showCatName val="0"/>
          <c:showSerName val="0"/>
          <c:showPercent val="0"/>
          <c:showBubbleSize val="0"/>
        </c:dLbls>
        <c:gapWidth val="219"/>
        <c:overlap val="-27"/>
        <c:axId val="502676608"/>
        <c:axId val="502677392"/>
      </c:barChart>
      <c:catAx>
        <c:axId val="5026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677392"/>
        <c:crosses val="autoZero"/>
        <c:auto val="1"/>
        <c:lblAlgn val="ctr"/>
        <c:lblOffset val="100"/>
        <c:noMultiLvlLbl val="0"/>
      </c:catAx>
      <c:valAx>
        <c:axId val="502677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6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Dimissioni</a:t>
            </a:r>
            <a:r>
              <a:rPr lang="it-IT" baseline="0"/>
              <a:t> - Tipologia</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OSCO!$C$35</c:f>
              <c:strCache>
                <c:ptCount val="1"/>
                <c:pt idx="0">
                  <c:v>Anno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OSCO!$B$36:$B$41</c:f>
              <c:strCache>
                <c:ptCount val="6"/>
                <c:pt idx="0">
                  <c:v>di cui dimesso per deceduto</c:v>
                </c:pt>
                <c:pt idx="1">
                  <c:v>di cui con dimissione ordinaria al domicilio del paziente</c:v>
                </c:pt>
                <c:pt idx="2">
                  <c:v>di cui trasferito ad ospedale pubblico o privato</c:v>
                </c:pt>
                <c:pt idx="3">
                  <c:v>di cui con dimissione protetta al domicilio del paziente</c:v>
                </c:pt>
                <c:pt idx="4">
                  <c:v>di cui con dimissione protetta presso struttura residenziale territoriale socio-sanitaria</c:v>
                </c:pt>
                <c:pt idx="5">
                  <c:v>Altro</c:v>
                </c:pt>
              </c:strCache>
            </c:strRef>
          </c:cat>
          <c:val>
            <c:numRef>
              <c:f>OSCO!$C$36:$C$41</c:f>
              <c:numCache>
                <c:formatCode>0.0%</c:formatCode>
                <c:ptCount val="6"/>
                <c:pt idx="0">
                  <c:v>2.7842227378190254E-2</c:v>
                </c:pt>
                <c:pt idx="1">
                  <c:v>0.6728538283062645</c:v>
                </c:pt>
                <c:pt idx="2">
                  <c:v>0.13225058004640372</c:v>
                </c:pt>
                <c:pt idx="3">
                  <c:v>8.1206496519721574E-2</c:v>
                </c:pt>
                <c:pt idx="4">
                  <c:v>6.4965197215777259E-2</c:v>
                </c:pt>
                <c:pt idx="5">
                  <c:v>2.0881670533642691E-2</c:v>
                </c:pt>
              </c:numCache>
            </c:numRef>
          </c:val>
        </c:ser>
        <c:ser>
          <c:idx val="1"/>
          <c:order val="1"/>
          <c:tx>
            <c:strRef>
              <c:f>OSCO!$D$35</c:f>
              <c:strCache>
                <c:ptCount val="1"/>
                <c:pt idx="0">
                  <c:v>Anno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OSCO!$B$36:$B$41</c:f>
              <c:strCache>
                <c:ptCount val="6"/>
                <c:pt idx="0">
                  <c:v>di cui dimesso per deceduto</c:v>
                </c:pt>
                <c:pt idx="1">
                  <c:v>di cui con dimissione ordinaria al domicilio del paziente</c:v>
                </c:pt>
                <c:pt idx="2">
                  <c:v>di cui trasferito ad ospedale pubblico o privato</c:v>
                </c:pt>
                <c:pt idx="3">
                  <c:v>di cui con dimissione protetta al domicilio del paziente</c:v>
                </c:pt>
                <c:pt idx="4">
                  <c:v>di cui con dimissione protetta presso struttura residenziale territoriale socio-sanitaria</c:v>
                </c:pt>
                <c:pt idx="5">
                  <c:v>Altro</c:v>
                </c:pt>
              </c:strCache>
            </c:strRef>
          </c:cat>
          <c:val>
            <c:numRef>
              <c:f>OSCO!$D$36:$D$41</c:f>
              <c:numCache>
                <c:formatCode>0.0%</c:formatCode>
                <c:ptCount val="6"/>
                <c:pt idx="0">
                  <c:v>4.5783132530120479E-2</c:v>
                </c:pt>
                <c:pt idx="1">
                  <c:v>0.53012048192771088</c:v>
                </c:pt>
                <c:pt idx="2">
                  <c:v>0.18072289156626506</c:v>
                </c:pt>
                <c:pt idx="3">
                  <c:v>0.10843373493975904</c:v>
                </c:pt>
                <c:pt idx="4">
                  <c:v>0.11566265060240964</c:v>
                </c:pt>
                <c:pt idx="5">
                  <c:v>1.9277108433734941E-2</c:v>
                </c:pt>
              </c:numCache>
            </c:numRef>
          </c:val>
        </c:ser>
        <c:dLbls>
          <c:dLblPos val="outEnd"/>
          <c:showLegendKey val="0"/>
          <c:showVal val="1"/>
          <c:showCatName val="0"/>
          <c:showSerName val="0"/>
          <c:showPercent val="0"/>
          <c:showBubbleSize val="0"/>
        </c:dLbls>
        <c:gapWidth val="219"/>
        <c:overlap val="-27"/>
        <c:axId val="494339656"/>
        <c:axId val="498095336"/>
      </c:barChart>
      <c:catAx>
        <c:axId val="49433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095336"/>
        <c:crosses val="autoZero"/>
        <c:auto val="1"/>
        <c:lblAlgn val="ctr"/>
        <c:lblOffset val="100"/>
        <c:noMultiLvlLbl val="0"/>
      </c:catAx>
      <c:valAx>
        <c:axId val="498095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433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Salute Mentale Adulti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DSM!$E$13</c:f>
              <c:strCache>
                <c:ptCount val="1"/>
                <c:pt idx="0">
                  <c:v>Nuovi Utenti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DSM!$D$14:$D$18</c:f>
              <c:strCache>
                <c:ptCount val="5"/>
                <c:pt idx="0">
                  <c:v>Salute Mentale Adulti</c:v>
                </c:pt>
                <c:pt idx="1">
                  <c:v>NPIA</c:v>
                </c:pt>
                <c:pt idx="2">
                  <c:v>Dipendenze Patologiche</c:v>
                </c:pt>
                <c:pt idx="3">
                  <c:v>Psicologia Clinica*</c:v>
                </c:pt>
                <c:pt idx="4">
                  <c:v>Programma aziendale DCA coordinato dal DSM.DP</c:v>
                </c:pt>
              </c:strCache>
            </c:strRef>
          </c:cat>
          <c:val>
            <c:numRef>
              <c:f>DSM!$E$14:$E$18</c:f>
              <c:numCache>
                <c:formatCode>_-* #,##0_-;\-* #,##0_-;_-* "-"??_-;_-@_-</c:formatCode>
                <c:ptCount val="5"/>
                <c:pt idx="0">
                  <c:v>5089</c:v>
                </c:pt>
                <c:pt idx="1">
                  <c:v>2682</c:v>
                </c:pt>
                <c:pt idx="2">
                  <c:v>710</c:v>
                </c:pt>
                <c:pt idx="3">
                  <c:v>2150</c:v>
                </c:pt>
                <c:pt idx="4">
                  <c:v>137</c:v>
                </c:pt>
              </c:numCache>
            </c:numRef>
          </c:val>
        </c:ser>
        <c:ser>
          <c:idx val="1"/>
          <c:order val="1"/>
          <c:tx>
            <c:strRef>
              <c:f>DSM!$F$13</c:f>
              <c:strCache>
                <c:ptCount val="1"/>
                <c:pt idx="0">
                  <c:v>Utenti in Carico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DSM!$D$14:$D$18</c:f>
              <c:strCache>
                <c:ptCount val="5"/>
                <c:pt idx="0">
                  <c:v>Salute Mentale Adulti</c:v>
                </c:pt>
                <c:pt idx="1">
                  <c:v>NPIA</c:v>
                </c:pt>
                <c:pt idx="2">
                  <c:v>Dipendenze Patologiche</c:v>
                </c:pt>
                <c:pt idx="3">
                  <c:v>Psicologia Clinica*</c:v>
                </c:pt>
                <c:pt idx="4">
                  <c:v>Programma aziendale DCA coordinato dal DSM.DP</c:v>
                </c:pt>
              </c:strCache>
            </c:strRef>
          </c:cat>
          <c:val>
            <c:numRef>
              <c:f>DSM!$F$14:$F$18</c:f>
              <c:numCache>
                <c:formatCode>_-* #,##0_-;\-* #,##0_-;_-* "-"??_-;_-@_-</c:formatCode>
                <c:ptCount val="5"/>
                <c:pt idx="0">
                  <c:v>9130</c:v>
                </c:pt>
                <c:pt idx="1">
                  <c:v>11084</c:v>
                </c:pt>
                <c:pt idx="2">
                  <c:v>2906</c:v>
                </c:pt>
                <c:pt idx="3">
                  <c:v>3564</c:v>
                </c:pt>
                <c:pt idx="4">
                  <c:v>345</c:v>
                </c:pt>
              </c:numCache>
            </c:numRef>
          </c:val>
        </c:ser>
        <c:dLbls>
          <c:dLblPos val="outEnd"/>
          <c:showLegendKey val="0"/>
          <c:showVal val="1"/>
          <c:showCatName val="0"/>
          <c:showSerName val="0"/>
          <c:showPercent val="0"/>
          <c:showBubbleSize val="0"/>
        </c:dLbls>
        <c:gapWidth val="219"/>
        <c:overlap val="-27"/>
        <c:axId val="498096120"/>
        <c:axId val="498098864"/>
      </c:barChart>
      <c:catAx>
        <c:axId val="49809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098864"/>
        <c:crosses val="autoZero"/>
        <c:auto val="1"/>
        <c:lblAlgn val="ctr"/>
        <c:lblOffset val="100"/>
        <c:noMultiLvlLbl val="0"/>
      </c:catAx>
      <c:valAx>
        <c:axId val="49809886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09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Tasso ospedalizzazioni x 10.000 abitanti maggiorenni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DSM!$J$28</c:f>
              <c:strCache>
                <c:ptCount val="1"/>
                <c:pt idx="0">
                  <c:v>Anno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DSM!$I$29:$I$31</c:f>
              <c:strCache>
                <c:ptCount val="3"/>
                <c:pt idx="0">
                  <c:v>SPDC</c:v>
                </c:pt>
                <c:pt idx="1">
                  <c:v>SPOI</c:v>
                </c:pt>
                <c:pt idx="2">
                  <c:v>Totale</c:v>
                </c:pt>
              </c:strCache>
            </c:strRef>
          </c:cat>
          <c:val>
            <c:numRef>
              <c:f>DSM!$J$29:$J$31</c:f>
              <c:numCache>
                <c:formatCode>General</c:formatCode>
                <c:ptCount val="3"/>
                <c:pt idx="0">
                  <c:v>9.5</c:v>
                </c:pt>
                <c:pt idx="1">
                  <c:v>15.5</c:v>
                </c:pt>
                <c:pt idx="2">
                  <c:v>25</c:v>
                </c:pt>
              </c:numCache>
            </c:numRef>
          </c:val>
        </c:ser>
        <c:ser>
          <c:idx val="1"/>
          <c:order val="1"/>
          <c:tx>
            <c:strRef>
              <c:f>DSM!$K$28</c:f>
              <c:strCache>
                <c:ptCount val="1"/>
                <c:pt idx="0">
                  <c:v>Anno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DSM!$I$29:$I$31</c:f>
              <c:strCache>
                <c:ptCount val="3"/>
                <c:pt idx="0">
                  <c:v>SPDC</c:v>
                </c:pt>
                <c:pt idx="1">
                  <c:v>SPOI</c:v>
                </c:pt>
                <c:pt idx="2">
                  <c:v>Totale</c:v>
                </c:pt>
              </c:strCache>
            </c:strRef>
          </c:cat>
          <c:val>
            <c:numRef>
              <c:f>DSM!$K$29:$K$31</c:f>
              <c:numCache>
                <c:formatCode>General</c:formatCode>
                <c:ptCount val="3"/>
                <c:pt idx="0">
                  <c:v>7.5</c:v>
                </c:pt>
                <c:pt idx="1">
                  <c:v>16.600000000000001</c:v>
                </c:pt>
                <c:pt idx="2">
                  <c:v>24.1</c:v>
                </c:pt>
              </c:numCache>
            </c:numRef>
          </c:val>
        </c:ser>
        <c:dLbls>
          <c:dLblPos val="outEnd"/>
          <c:showLegendKey val="0"/>
          <c:showVal val="1"/>
          <c:showCatName val="0"/>
          <c:showSerName val="0"/>
          <c:showPercent val="0"/>
          <c:showBubbleSize val="0"/>
        </c:dLbls>
        <c:gapWidth val="219"/>
        <c:overlap val="-27"/>
        <c:axId val="498100040"/>
        <c:axId val="498098080"/>
      </c:barChart>
      <c:catAx>
        <c:axId val="49810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098080"/>
        <c:crosses val="autoZero"/>
        <c:auto val="1"/>
        <c:lblAlgn val="ctr"/>
        <c:lblOffset val="100"/>
        <c:noMultiLvlLbl val="0"/>
      </c:catAx>
      <c:valAx>
        <c:axId val="49809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100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Durata media ricovero (gg)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DSM!$J$39</c:f>
              <c:strCache>
                <c:ptCount val="1"/>
                <c:pt idx="0">
                  <c:v>Anno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DSM!$I$40:$I$44</c:f>
              <c:strCache>
                <c:ptCount val="5"/>
                <c:pt idx="0">
                  <c:v>SPDC Carpi</c:v>
                </c:pt>
                <c:pt idx="1">
                  <c:v>SPDC Modena</c:v>
                </c:pt>
                <c:pt idx="2">
                  <c:v>SPOI Villa Igea</c:v>
                </c:pt>
                <c:pt idx="3">
                  <c:v>SPOI Villa Rosa</c:v>
                </c:pt>
                <c:pt idx="4">
                  <c:v>Totale</c:v>
                </c:pt>
              </c:strCache>
            </c:strRef>
          </c:cat>
          <c:val>
            <c:numRef>
              <c:f>DSM!$J$40:$J$44</c:f>
              <c:numCache>
                <c:formatCode>General</c:formatCode>
                <c:ptCount val="5"/>
                <c:pt idx="0">
                  <c:v>15.7</c:v>
                </c:pt>
                <c:pt idx="1">
                  <c:v>10.7</c:v>
                </c:pt>
                <c:pt idx="2">
                  <c:v>11.2</c:v>
                </c:pt>
                <c:pt idx="3">
                  <c:v>11</c:v>
                </c:pt>
                <c:pt idx="4">
                  <c:v>11.5</c:v>
                </c:pt>
              </c:numCache>
            </c:numRef>
          </c:val>
        </c:ser>
        <c:ser>
          <c:idx val="1"/>
          <c:order val="1"/>
          <c:tx>
            <c:strRef>
              <c:f>DSM!$K$39</c:f>
              <c:strCache>
                <c:ptCount val="1"/>
                <c:pt idx="0">
                  <c:v>Anno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DSM!$I$40:$I$44</c:f>
              <c:strCache>
                <c:ptCount val="5"/>
                <c:pt idx="0">
                  <c:v>SPDC Carpi</c:v>
                </c:pt>
                <c:pt idx="1">
                  <c:v>SPDC Modena</c:v>
                </c:pt>
                <c:pt idx="2">
                  <c:v>SPOI Villa Igea</c:v>
                </c:pt>
                <c:pt idx="3">
                  <c:v>SPOI Villa Rosa</c:v>
                </c:pt>
                <c:pt idx="4">
                  <c:v>Totale</c:v>
                </c:pt>
              </c:strCache>
            </c:strRef>
          </c:cat>
          <c:val>
            <c:numRef>
              <c:f>DSM!$K$40:$K$44</c:f>
              <c:numCache>
                <c:formatCode>General</c:formatCode>
                <c:ptCount val="5"/>
                <c:pt idx="0">
                  <c:v>24.9</c:v>
                </c:pt>
                <c:pt idx="1">
                  <c:v>8.1999999999999993</c:v>
                </c:pt>
                <c:pt idx="2">
                  <c:v>11.4</c:v>
                </c:pt>
                <c:pt idx="3">
                  <c:v>11.7</c:v>
                </c:pt>
                <c:pt idx="4">
                  <c:v>11.7</c:v>
                </c:pt>
              </c:numCache>
            </c:numRef>
          </c:val>
        </c:ser>
        <c:dLbls>
          <c:dLblPos val="outEnd"/>
          <c:showLegendKey val="0"/>
          <c:showVal val="1"/>
          <c:showCatName val="0"/>
          <c:showSerName val="0"/>
          <c:showPercent val="0"/>
          <c:showBubbleSize val="0"/>
        </c:dLbls>
        <c:gapWidth val="219"/>
        <c:overlap val="-27"/>
        <c:axId val="498103960"/>
        <c:axId val="498096512"/>
      </c:barChart>
      <c:catAx>
        <c:axId val="49810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096512"/>
        <c:crosses val="autoZero"/>
        <c:auto val="1"/>
        <c:lblAlgn val="ctr"/>
        <c:lblOffset val="100"/>
        <c:noMultiLvlLbl val="0"/>
      </c:catAx>
      <c:valAx>
        <c:axId val="49809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103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Tasso ospedalizzazione</a:t>
            </a:r>
            <a:r>
              <a:rPr lang="it-IT" baseline="0"/>
              <a:t> per TSO x 100.000 abitanti maggiorenni</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DSM!$J$52</c:f>
              <c:strCache>
                <c:ptCount val="1"/>
                <c:pt idx="0">
                  <c:v>Anno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DSM!$I$53:$I$55</c:f>
              <c:strCache>
                <c:ptCount val="3"/>
                <c:pt idx="0">
                  <c:v>Uomini</c:v>
                </c:pt>
                <c:pt idx="1">
                  <c:v>Donne</c:v>
                </c:pt>
                <c:pt idx="2">
                  <c:v>Totale</c:v>
                </c:pt>
              </c:strCache>
            </c:strRef>
          </c:cat>
          <c:val>
            <c:numRef>
              <c:f>DSM!$J$53:$J$55</c:f>
              <c:numCache>
                <c:formatCode>General</c:formatCode>
                <c:ptCount val="3"/>
                <c:pt idx="0">
                  <c:v>23.5</c:v>
                </c:pt>
                <c:pt idx="1">
                  <c:v>21.2</c:v>
                </c:pt>
                <c:pt idx="2">
                  <c:v>22.3</c:v>
                </c:pt>
              </c:numCache>
            </c:numRef>
          </c:val>
        </c:ser>
        <c:ser>
          <c:idx val="1"/>
          <c:order val="1"/>
          <c:tx>
            <c:strRef>
              <c:f>DSM!$K$52</c:f>
              <c:strCache>
                <c:ptCount val="1"/>
                <c:pt idx="0">
                  <c:v>Anno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DSM!$I$53:$I$55</c:f>
              <c:strCache>
                <c:ptCount val="3"/>
                <c:pt idx="0">
                  <c:v>Uomini</c:v>
                </c:pt>
                <c:pt idx="1">
                  <c:v>Donne</c:v>
                </c:pt>
                <c:pt idx="2">
                  <c:v>Totale</c:v>
                </c:pt>
              </c:strCache>
            </c:strRef>
          </c:cat>
          <c:val>
            <c:numRef>
              <c:f>DSM!$K$53:$K$55</c:f>
              <c:numCache>
                <c:formatCode>General</c:formatCode>
                <c:ptCount val="3"/>
                <c:pt idx="0">
                  <c:v>26.3</c:v>
                </c:pt>
                <c:pt idx="1">
                  <c:v>14.6</c:v>
                </c:pt>
                <c:pt idx="2">
                  <c:v>20.2</c:v>
                </c:pt>
              </c:numCache>
            </c:numRef>
          </c:val>
        </c:ser>
        <c:dLbls>
          <c:dLblPos val="outEnd"/>
          <c:showLegendKey val="0"/>
          <c:showVal val="1"/>
          <c:showCatName val="0"/>
          <c:showSerName val="0"/>
          <c:showPercent val="0"/>
          <c:showBubbleSize val="0"/>
        </c:dLbls>
        <c:gapWidth val="219"/>
        <c:overlap val="-27"/>
        <c:axId val="498100432"/>
        <c:axId val="498098472"/>
      </c:barChart>
      <c:catAx>
        <c:axId val="49810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098472"/>
        <c:crosses val="autoZero"/>
        <c:auto val="1"/>
        <c:lblAlgn val="ctr"/>
        <c:lblOffset val="100"/>
        <c:noMultiLvlLbl val="0"/>
      </c:catAx>
      <c:valAx>
        <c:axId val="498098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10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it-IT"/>
              <a:t>Andamento segnalazioni per tipologia 2013-2017</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5.2267682133857317E-2"/>
          <c:y val="7.3711446627806654E-2"/>
          <c:w val="0.93134510298545148"/>
          <c:h val="0.70580504442819347"/>
        </c:manualLayout>
      </c:layout>
      <c:lineChart>
        <c:grouping val="standard"/>
        <c:varyColors val="0"/>
        <c:ser>
          <c:idx val="0"/>
          <c:order val="0"/>
          <c:tx>
            <c:strRef>
              <c:f>'[Copia di Dati URP.xlsx]1.1 andamento'!$A$37</c:f>
              <c:strCache>
                <c:ptCount val="1"/>
                <c:pt idx="0">
                  <c:v>reclami</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7962358200519809E-2"/>
                  <c:y val="2.94372274303965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3914738647011453E-2"/>
                  <c:y val="-3.153988653256786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'[Copia di Dati URP.xlsx]1.1 andamento'!$B$36:$F$36</c:f>
              <c:numCache>
                <c:formatCode>General</c:formatCode>
                <c:ptCount val="5"/>
                <c:pt idx="0">
                  <c:v>2013</c:v>
                </c:pt>
                <c:pt idx="1">
                  <c:v>2014</c:v>
                </c:pt>
                <c:pt idx="2">
                  <c:v>2015</c:v>
                </c:pt>
                <c:pt idx="3">
                  <c:v>2016</c:v>
                </c:pt>
                <c:pt idx="4">
                  <c:v>2017</c:v>
                </c:pt>
              </c:numCache>
            </c:numRef>
          </c:cat>
          <c:val>
            <c:numRef>
              <c:f>'[Copia di Dati URP.xlsx]1.1 andamento'!$B$37:$F$37</c:f>
              <c:numCache>
                <c:formatCode>General</c:formatCode>
                <c:ptCount val="5"/>
                <c:pt idx="0">
                  <c:v>584</c:v>
                </c:pt>
                <c:pt idx="1">
                  <c:v>683</c:v>
                </c:pt>
                <c:pt idx="2">
                  <c:v>702</c:v>
                </c:pt>
                <c:pt idx="3">
                  <c:v>553</c:v>
                </c:pt>
                <c:pt idx="4">
                  <c:v>641</c:v>
                </c:pt>
              </c:numCache>
            </c:numRef>
          </c:val>
          <c:smooth val="0"/>
        </c:ser>
        <c:ser>
          <c:idx val="1"/>
          <c:order val="1"/>
          <c:tx>
            <c:strRef>
              <c:f>'[Copia di Dati URP.xlsx]1.1 andamento'!$A$38</c:f>
              <c:strCache>
                <c:ptCount val="1"/>
                <c:pt idx="0">
                  <c:v>reclami (senza mancate disdette)</c:v>
                </c:pt>
              </c:strCache>
            </c:strRef>
          </c:tx>
          <c:spPr>
            <a:ln w="28575" cap="rnd">
              <a:solidFill>
                <a:schemeClr val="accent2"/>
              </a:solidFill>
              <a:round/>
            </a:ln>
            <a:effectLst/>
          </c:spPr>
          <c:marker>
            <c:symbol val="none"/>
          </c:marker>
          <c:dLbls>
            <c:dLbl>
              <c:idx val="0"/>
              <c:layout>
                <c:manualLayout>
                  <c:x val="-3.4708390789700158E-2"/>
                  <c:y val="-2.52319092260542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6613151682683626E-2"/>
                  <c:y val="-3.364254563473897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962358200519712E-2"/>
                  <c:y val="-3.15398865325678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2.5263945164847638E-2"/>
                  <c:y val="4.205318204342364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'[Copia di Dati URP.xlsx]1.1 andamento'!$B$36:$F$36</c:f>
              <c:numCache>
                <c:formatCode>General</c:formatCode>
                <c:ptCount val="5"/>
                <c:pt idx="0">
                  <c:v>2013</c:v>
                </c:pt>
                <c:pt idx="1">
                  <c:v>2014</c:v>
                </c:pt>
                <c:pt idx="2">
                  <c:v>2015</c:v>
                </c:pt>
                <c:pt idx="3">
                  <c:v>2016</c:v>
                </c:pt>
                <c:pt idx="4">
                  <c:v>2017</c:v>
                </c:pt>
              </c:numCache>
            </c:numRef>
          </c:cat>
          <c:val>
            <c:numRef>
              <c:f>'[Copia di Dati URP.xlsx]1.1 andamento'!$B$38:$F$38</c:f>
              <c:numCache>
                <c:formatCode>General</c:formatCode>
                <c:ptCount val="5"/>
                <c:pt idx="0">
                  <c:v>584</c:v>
                </c:pt>
                <c:pt idx="1">
                  <c:v>683</c:v>
                </c:pt>
                <c:pt idx="2">
                  <c:v>702</c:v>
                </c:pt>
                <c:pt idx="3">
                  <c:v>553</c:v>
                </c:pt>
                <c:pt idx="4">
                  <c:v>586</c:v>
                </c:pt>
              </c:numCache>
            </c:numRef>
          </c:val>
          <c:smooth val="0"/>
        </c:ser>
        <c:ser>
          <c:idx val="2"/>
          <c:order val="2"/>
          <c:tx>
            <c:strRef>
              <c:f>'[Copia di Dati URP.xlsx]1.1 andamento'!$A$39</c:f>
              <c:strCache>
                <c:ptCount val="1"/>
                <c:pt idx="0">
                  <c:v>elogi</c:v>
                </c:pt>
              </c:strCache>
            </c:strRef>
          </c:tx>
          <c:spPr>
            <a:ln w="28575" cap="rnd">
              <a:solidFill>
                <a:schemeClr val="accent3"/>
              </a:solidFill>
              <a:round/>
            </a:ln>
            <a:effectLst/>
          </c:spPr>
          <c:marker>
            <c:symbol val="none"/>
          </c:marker>
          <c:dLbls>
            <c:dLbl>
              <c:idx val="0"/>
              <c:layout>
                <c:manualLayout>
                  <c:x val="-2.7962358200519736E-2"/>
                  <c:y val="2.312925012388296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7962358200519809E-2"/>
                  <c:y val="-1.89239319195407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4185982275463352E-3"/>
                  <c:y val="2.102659102171109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'[Copia di Dati URP.xlsx]1.1 andamento'!$B$36:$F$36</c:f>
              <c:numCache>
                <c:formatCode>General</c:formatCode>
                <c:ptCount val="5"/>
                <c:pt idx="0">
                  <c:v>2013</c:v>
                </c:pt>
                <c:pt idx="1">
                  <c:v>2014</c:v>
                </c:pt>
                <c:pt idx="2">
                  <c:v>2015</c:v>
                </c:pt>
                <c:pt idx="3">
                  <c:v>2016</c:v>
                </c:pt>
                <c:pt idx="4">
                  <c:v>2017</c:v>
                </c:pt>
              </c:numCache>
            </c:numRef>
          </c:cat>
          <c:val>
            <c:numRef>
              <c:f>'[Copia di Dati URP.xlsx]1.1 andamento'!$B$39:$F$39</c:f>
              <c:numCache>
                <c:formatCode>General</c:formatCode>
                <c:ptCount val="5"/>
                <c:pt idx="0">
                  <c:v>488</c:v>
                </c:pt>
                <c:pt idx="1">
                  <c:v>491</c:v>
                </c:pt>
                <c:pt idx="2">
                  <c:v>438</c:v>
                </c:pt>
                <c:pt idx="3">
                  <c:v>582</c:v>
                </c:pt>
                <c:pt idx="4">
                  <c:v>601</c:v>
                </c:pt>
              </c:numCache>
            </c:numRef>
          </c:val>
          <c:smooth val="0"/>
        </c:ser>
        <c:ser>
          <c:idx val="3"/>
          <c:order val="3"/>
          <c:tx>
            <c:strRef>
              <c:f>'[Copia di Dati URP.xlsx]1.1 andamento'!$A$40</c:f>
              <c:strCache>
                <c:ptCount val="1"/>
                <c:pt idx="0">
                  <c:v>rilievi</c:v>
                </c:pt>
              </c:strCache>
            </c:strRef>
          </c:tx>
          <c:spPr>
            <a:ln w="28575" cap="rnd">
              <a:solidFill>
                <a:schemeClr val="accent1">
                  <a:lumMod val="50000"/>
                </a:schemeClr>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3.2434924688779489E-2"/>
                  <c:y val="-3.364254563473904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'[Copia di Dati URP.xlsx]1.1 andamento'!$B$36:$F$36</c:f>
              <c:numCache>
                <c:formatCode>General</c:formatCode>
                <c:ptCount val="5"/>
                <c:pt idx="0">
                  <c:v>2013</c:v>
                </c:pt>
                <c:pt idx="1">
                  <c:v>2014</c:v>
                </c:pt>
                <c:pt idx="2">
                  <c:v>2015</c:v>
                </c:pt>
                <c:pt idx="3">
                  <c:v>2016</c:v>
                </c:pt>
                <c:pt idx="4">
                  <c:v>2017</c:v>
                </c:pt>
              </c:numCache>
            </c:numRef>
          </c:cat>
          <c:val>
            <c:numRef>
              <c:f>'[Copia di Dati URP.xlsx]1.1 andamento'!$B$40:$F$40</c:f>
              <c:numCache>
                <c:formatCode>General</c:formatCode>
                <c:ptCount val="5"/>
                <c:pt idx="0">
                  <c:v>948</c:v>
                </c:pt>
                <c:pt idx="1">
                  <c:v>1198</c:v>
                </c:pt>
                <c:pt idx="2">
                  <c:v>1491</c:v>
                </c:pt>
                <c:pt idx="3">
                  <c:v>1033</c:v>
                </c:pt>
                <c:pt idx="4">
                  <c:v>1441</c:v>
                </c:pt>
              </c:numCache>
            </c:numRef>
          </c:val>
          <c:smooth val="0"/>
        </c:ser>
        <c:ser>
          <c:idx val="4"/>
          <c:order val="4"/>
          <c:tx>
            <c:strRef>
              <c:f>'[Copia di Dati URP.xlsx]1.1 andamento'!$A$41</c:f>
              <c:strCache>
                <c:ptCount val="1"/>
                <c:pt idx="0">
                  <c:v>rilievi (senza mancate disdette)</c:v>
                </c:pt>
              </c:strCache>
            </c:strRef>
          </c:tx>
          <c:spPr>
            <a:ln w="28575" cap="rnd">
              <a:solidFill>
                <a:schemeClr val="accent1">
                  <a:lumMod val="50000"/>
                </a:schemeClr>
              </a:solidFill>
              <a:round/>
            </a:ln>
            <a:effectLst/>
          </c:spPr>
          <c:marker>
            <c:symbol val="none"/>
          </c:marker>
          <c:dPt>
            <c:idx val="3"/>
            <c:marker>
              <c:symbol val="none"/>
            </c:marker>
            <c:bubble3D val="0"/>
          </c:dPt>
          <c:dPt>
            <c:idx val="4"/>
            <c:marker>
              <c:symbol val="none"/>
            </c:marker>
            <c:bubble3D val="0"/>
            <c:spPr>
              <a:ln w="28575" cap="rnd">
                <a:solidFill>
                  <a:schemeClr val="accent1">
                    <a:lumMod val="50000"/>
                  </a:schemeClr>
                </a:solidFill>
                <a:prstDash val="dash"/>
                <a:round/>
              </a:ln>
              <a:effectLst/>
            </c:spPr>
          </c:dPt>
          <c:dLbls>
            <c:dLbl>
              <c:idx val="0"/>
              <c:layout>
                <c:manualLayout>
                  <c:x val="-6.9787760253438372E-2"/>
                  <c:y val="1.05132955108559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5133337724451708E-2"/>
                  <c:y val="1.89239319195406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5133337724451659E-2"/>
                  <c:y val="4.6258500247766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5133337724451659E-2"/>
                  <c:y val="-4.41558411455949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9.3904773641391524E-3"/>
                  <c:y val="-1.051329551085592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'[Copia di Dati URP.xlsx]1.1 andamento'!$B$36:$F$36</c:f>
              <c:numCache>
                <c:formatCode>General</c:formatCode>
                <c:ptCount val="5"/>
                <c:pt idx="0">
                  <c:v>2013</c:v>
                </c:pt>
                <c:pt idx="1">
                  <c:v>2014</c:v>
                </c:pt>
                <c:pt idx="2">
                  <c:v>2015</c:v>
                </c:pt>
                <c:pt idx="3">
                  <c:v>2016</c:v>
                </c:pt>
                <c:pt idx="4">
                  <c:v>2017</c:v>
                </c:pt>
              </c:numCache>
            </c:numRef>
          </c:cat>
          <c:val>
            <c:numRef>
              <c:f>'[Copia di Dati URP.xlsx]1.1 andamento'!$B$41:$F$41</c:f>
              <c:numCache>
                <c:formatCode>General</c:formatCode>
                <c:ptCount val="5"/>
                <c:pt idx="0">
                  <c:v>948</c:v>
                </c:pt>
                <c:pt idx="1">
                  <c:v>1198</c:v>
                </c:pt>
                <c:pt idx="2">
                  <c:v>1491</c:v>
                </c:pt>
                <c:pt idx="3">
                  <c:v>1033</c:v>
                </c:pt>
                <c:pt idx="4">
                  <c:v>1069</c:v>
                </c:pt>
              </c:numCache>
            </c:numRef>
          </c:val>
          <c:smooth val="0"/>
        </c:ser>
        <c:ser>
          <c:idx val="5"/>
          <c:order val="5"/>
          <c:tx>
            <c:strRef>
              <c:f>'[Copia di Dati URP.xlsx]1.1 andamento'!$A$42</c:f>
              <c:strCache>
                <c:ptCount val="1"/>
                <c:pt idx="0">
                  <c:v>suggerimenti</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'[Copia di Dati URP.xlsx]1.1 andamento'!$B$36:$F$36</c:f>
              <c:numCache>
                <c:formatCode>General</c:formatCode>
                <c:ptCount val="5"/>
                <c:pt idx="0">
                  <c:v>2013</c:v>
                </c:pt>
                <c:pt idx="1">
                  <c:v>2014</c:v>
                </c:pt>
                <c:pt idx="2">
                  <c:v>2015</c:v>
                </c:pt>
                <c:pt idx="3">
                  <c:v>2016</c:v>
                </c:pt>
                <c:pt idx="4">
                  <c:v>2017</c:v>
                </c:pt>
              </c:numCache>
            </c:numRef>
          </c:cat>
          <c:val>
            <c:numRef>
              <c:f>'[Copia di Dati URP.xlsx]1.1 andamento'!$B$42:$F$42</c:f>
              <c:numCache>
                <c:formatCode>General</c:formatCode>
                <c:ptCount val="5"/>
                <c:pt idx="0">
                  <c:v>64</c:v>
                </c:pt>
                <c:pt idx="1">
                  <c:v>92</c:v>
                </c:pt>
                <c:pt idx="2">
                  <c:v>59</c:v>
                </c:pt>
                <c:pt idx="3">
                  <c:v>34</c:v>
                </c:pt>
                <c:pt idx="4">
                  <c:v>49</c:v>
                </c:pt>
              </c:numCache>
            </c:numRef>
          </c:val>
          <c:smooth val="0"/>
        </c:ser>
        <c:ser>
          <c:idx val="6"/>
          <c:order val="6"/>
          <c:tx>
            <c:strRef>
              <c:f>'[Copia di Dati URP.xlsx]1.1 andamento'!$A$43</c:f>
              <c:strCache>
                <c:ptCount val="1"/>
                <c:pt idx="0">
                  <c:v>totale</c:v>
                </c:pt>
              </c:strCache>
            </c:strRef>
          </c:tx>
          <c:spPr>
            <a:ln w="28575" cap="rnd">
              <a:solidFill>
                <a:schemeClr val="accent1">
                  <a:lumMod val="60000"/>
                </a:schemeClr>
              </a:solidFill>
              <a:round/>
            </a:ln>
            <a:effectLst/>
          </c:spPr>
          <c:marker>
            <c:symbol val="none"/>
          </c:marker>
          <c:dPt>
            <c:idx val="4"/>
            <c:marker>
              <c:symbol val="none"/>
            </c:marker>
            <c:bubble3D val="0"/>
            <c:spPr>
              <a:ln w="28575" cap="rnd">
                <a:solidFill>
                  <a:schemeClr val="accent2">
                    <a:lumMod val="50000"/>
                  </a:schemeClr>
                </a:solidFill>
                <a:round/>
              </a:ln>
              <a:effectLst/>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489523995691038E-2"/>
                  <c:y val="-2.312925012388304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'[Copia di Dati URP.xlsx]1.1 andamento'!$B$36:$F$36</c:f>
              <c:numCache>
                <c:formatCode>General</c:formatCode>
                <c:ptCount val="5"/>
                <c:pt idx="0">
                  <c:v>2013</c:v>
                </c:pt>
                <c:pt idx="1">
                  <c:v>2014</c:v>
                </c:pt>
                <c:pt idx="2">
                  <c:v>2015</c:v>
                </c:pt>
                <c:pt idx="3">
                  <c:v>2016</c:v>
                </c:pt>
                <c:pt idx="4">
                  <c:v>2017</c:v>
                </c:pt>
              </c:numCache>
            </c:numRef>
          </c:cat>
          <c:val>
            <c:numRef>
              <c:f>'[Copia di Dati URP.xlsx]1.1 andamento'!$B$43:$F$43</c:f>
              <c:numCache>
                <c:formatCode>General</c:formatCode>
                <c:ptCount val="5"/>
                <c:pt idx="0">
                  <c:v>2084</c:v>
                </c:pt>
                <c:pt idx="1">
                  <c:v>2464</c:v>
                </c:pt>
                <c:pt idx="2">
                  <c:v>2690</c:v>
                </c:pt>
                <c:pt idx="3">
                  <c:v>2202</c:v>
                </c:pt>
                <c:pt idx="4">
                  <c:v>2732</c:v>
                </c:pt>
              </c:numCache>
            </c:numRef>
          </c:val>
          <c:smooth val="0"/>
        </c:ser>
        <c:ser>
          <c:idx val="7"/>
          <c:order val="7"/>
          <c:tx>
            <c:strRef>
              <c:f>'[Copia di Dati URP.xlsx]1.1 andamento'!$A$44</c:f>
              <c:strCache>
                <c:ptCount val="1"/>
                <c:pt idx="0">
                  <c:v>totale (senza mancate disdette)</c:v>
                </c:pt>
              </c:strCache>
            </c:strRef>
          </c:tx>
          <c:spPr>
            <a:ln w="28575" cap="rnd">
              <a:solidFill>
                <a:schemeClr val="accent2">
                  <a:lumMod val="60000"/>
                </a:schemeClr>
              </a:solidFill>
              <a:round/>
            </a:ln>
            <a:effectLst/>
          </c:spPr>
          <c:marker>
            <c:symbol val="none"/>
          </c:marker>
          <c:dPt>
            <c:idx val="4"/>
            <c:marker>
              <c:symbol val="none"/>
            </c:marker>
            <c:bubble3D val="0"/>
            <c:spPr>
              <a:ln w="28575" cap="rnd">
                <a:solidFill>
                  <a:schemeClr val="accent2">
                    <a:lumMod val="60000"/>
                  </a:schemeClr>
                </a:solidFill>
                <a:prstDash val="dash"/>
                <a:round/>
              </a:ln>
              <a:effectLst/>
            </c:spPr>
          </c:dPt>
          <c:dLbls>
            <c:dLbl>
              <c:idx val="0"/>
              <c:layout>
                <c:manualLayout>
                  <c:x val="-3.5133337724451659E-2"/>
                  <c:y val="2.94372274303965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5133337724451708E-2"/>
                  <c:y val="2.10265910217118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5.2673022456320766E-2"/>
                  <c:y val="1.47186137151983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7038098617435148E-2"/>
                  <c:y val="3.153988653256779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'[Copia di Dati URP.xlsx]1.1 andamento'!$B$36:$F$36</c:f>
              <c:numCache>
                <c:formatCode>General</c:formatCode>
                <c:ptCount val="5"/>
                <c:pt idx="0">
                  <c:v>2013</c:v>
                </c:pt>
                <c:pt idx="1">
                  <c:v>2014</c:v>
                </c:pt>
                <c:pt idx="2">
                  <c:v>2015</c:v>
                </c:pt>
                <c:pt idx="3">
                  <c:v>2016</c:v>
                </c:pt>
                <c:pt idx="4">
                  <c:v>2017</c:v>
                </c:pt>
              </c:numCache>
            </c:numRef>
          </c:cat>
          <c:val>
            <c:numRef>
              <c:f>'[Copia di Dati URP.xlsx]1.1 andamento'!$B$44:$F$44</c:f>
              <c:numCache>
                <c:formatCode>General</c:formatCode>
                <c:ptCount val="5"/>
                <c:pt idx="0">
                  <c:v>2084</c:v>
                </c:pt>
                <c:pt idx="1">
                  <c:v>2464</c:v>
                </c:pt>
                <c:pt idx="2">
                  <c:v>2690</c:v>
                </c:pt>
                <c:pt idx="3">
                  <c:v>2202</c:v>
                </c:pt>
                <c:pt idx="4">
                  <c:v>2304</c:v>
                </c:pt>
              </c:numCache>
            </c:numRef>
          </c:val>
          <c:smooth val="0"/>
        </c:ser>
        <c:dLbls>
          <c:dLblPos val="ctr"/>
          <c:showLegendKey val="0"/>
          <c:showVal val="1"/>
          <c:showCatName val="0"/>
          <c:showSerName val="0"/>
          <c:showPercent val="0"/>
          <c:showBubbleSize val="0"/>
        </c:dLbls>
        <c:smooth val="0"/>
        <c:axId val="498104352"/>
        <c:axId val="498103176"/>
      </c:lineChart>
      <c:catAx>
        <c:axId val="4981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crossAx val="498103176"/>
        <c:crosses val="autoZero"/>
        <c:auto val="1"/>
        <c:lblAlgn val="ctr"/>
        <c:lblOffset val="100"/>
        <c:tickLblSkip val="1"/>
        <c:tickMarkSkip val="1"/>
        <c:noMultiLvlLbl val="0"/>
      </c:catAx>
      <c:valAx>
        <c:axId val="498103176"/>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crossAx val="498104352"/>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it-I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Tempi di</a:t>
            </a:r>
            <a:r>
              <a:rPr lang="it-IT" baseline="0"/>
              <a:t> risposta ai reclami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'Tempi di risposta'!$B$3</c:f>
              <c:strCache>
                <c:ptCount val="1"/>
                <c:pt idx="0">
                  <c:v>In corso</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'Tempi di risposta'!$C$2:$D$2</c:f>
              <c:numCache>
                <c:formatCode>General</c:formatCode>
                <c:ptCount val="2"/>
                <c:pt idx="0">
                  <c:v>2016</c:v>
                </c:pt>
                <c:pt idx="1">
                  <c:v>2017</c:v>
                </c:pt>
              </c:numCache>
            </c:numRef>
          </c:cat>
          <c:val>
            <c:numRef>
              <c:f>'Tempi di risposta'!$C$3:$D$3</c:f>
              <c:numCache>
                <c:formatCode>0.0%</c:formatCode>
                <c:ptCount val="2"/>
                <c:pt idx="0">
                  <c:v>0.02</c:v>
                </c:pt>
                <c:pt idx="1">
                  <c:v>1.7000000000000001E-2</c:v>
                </c:pt>
              </c:numCache>
            </c:numRef>
          </c:val>
          <c:smooth val="0"/>
        </c:ser>
        <c:ser>
          <c:idx val="1"/>
          <c:order val="1"/>
          <c:tx>
            <c:strRef>
              <c:f>'Tempi di risposta'!$B$4</c:f>
              <c:strCache>
                <c:ptCount val="1"/>
                <c:pt idx="0">
                  <c:v>Entro 30 giorni</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'Tempi di risposta'!$C$2:$D$2</c:f>
              <c:numCache>
                <c:formatCode>General</c:formatCode>
                <c:ptCount val="2"/>
                <c:pt idx="0">
                  <c:v>2016</c:v>
                </c:pt>
                <c:pt idx="1">
                  <c:v>2017</c:v>
                </c:pt>
              </c:numCache>
            </c:numRef>
          </c:cat>
          <c:val>
            <c:numRef>
              <c:f>'Tempi di risposta'!$C$4:$D$4</c:f>
              <c:numCache>
                <c:formatCode>0.0%</c:formatCode>
                <c:ptCount val="2"/>
                <c:pt idx="0">
                  <c:v>0.77300000000000002</c:v>
                </c:pt>
                <c:pt idx="1">
                  <c:v>0.72899999999999998</c:v>
                </c:pt>
              </c:numCache>
            </c:numRef>
          </c:val>
          <c:smooth val="0"/>
        </c:ser>
        <c:ser>
          <c:idx val="2"/>
          <c:order val="2"/>
          <c:tx>
            <c:strRef>
              <c:f>'Tempi di risposta'!$B$5</c:f>
              <c:strCache>
                <c:ptCount val="1"/>
                <c:pt idx="0">
                  <c:v>Oltre 30 giorni</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'Tempi di risposta'!$C$2:$D$2</c:f>
              <c:numCache>
                <c:formatCode>General</c:formatCode>
                <c:ptCount val="2"/>
                <c:pt idx="0">
                  <c:v>2016</c:v>
                </c:pt>
                <c:pt idx="1">
                  <c:v>2017</c:v>
                </c:pt>
              </c:numCache>
            </c:numRef>
          </c:cat>
          <c:val>
            <c:numRef>
              <c:f>'Tempi di risposta'!$C$5:$D$5</c:f>
              <c:numCache>
                <c:formatCode>0.0%</c:formatCode>
                <c:ptCount val="2"/>
                <c:pt idx="0">
                  <c:v>0.22500000000000001</c:v>
                </c:pt>
                <c:pt idx="1">
                  <c:v>0.254</c:v>
                </c:pt>
              </c:numCache>
            </c:numRef>
          </c:val>
          <c:smooth val="0"/>
        </c:ser>
        <c:dLbls>
          <c:dLblPos val="t"/>
          <c:showLegendKey val="0"/>
          <c:showVal val="1"/>
          <c:showCatName val="0"/>
          <c:showSerName val="0"/>
          <c:showPercent val="0"/>
          <c:showBubbleSize val="0"/>
        </c:dLbls>
        <c:smooth val="0"/>
        <c:axId val="498102000"/>
        <c:axId val="498102392"/>
      </c:lineChart>
      <c:catAx>
        <c:axId val="49810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102392"/>
        <c:crosses val="autoZero"/>
        <c:auto val="1"/>
        <c:lblAlgn val="ctr"/>
        <c:lblOffset val="100"/>
        <c:noMultiLvlLbl val="0"/>
      </c:catAx>
      <c:valAx>
        <c:axId val="498102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10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a:t>Confronto</a:t>
            </a:r>
            <a:r>
              <a:rPr lang="it-IT" baseline="0"/>
              <a:t> Assunti / Cessati 2017</a:t>
            </a:r>
            <a:endParaRPr lang="it-IT"/>
          </a:p>
        </c:rich>
      </c:tx>
      <c:overlay val="0"/>
    </c:title>
    <c:autoTitleDeleted val="0"/>
    <c:plotArea>
      <c:layout>
        <c:manualLayout>
          <c:layoutTarget val="inner"/>
          <c:xMode val="edge"/>
          <c:yMode val="edge"/>
          <c:x val="7.0833433175765056E-2"/>
          <c:y val="0.13863918480778137"/>
          <c:w val="0.9082016868564986"/>
          <c:h val="0.68076936203408012"/>
        </c:manualLayout>
      </c:layout>
      <c:barChart>
        <c:barDir val="col"/>
        <c:grouping val="clustered"/>
        <c:varyColors val="0"/>
        <c:ser>
          <c:idx val="2"/>
          <c:order val="2"/>
          <c:tx>
            <c:strRef>
              <c:f>'Assunti Cessati'!$F$4</c:f>
              <c:strCache>
                <c:ptCount val="1"/>
                <c:pt idx="0">
                  <c:v>Presenti 01/01/2017</c:v>
                </c:pt>
              </c:strCache>
            </c:strRef>
          </c:tx>
          <c:spPr>
            <a:solidFill>
              <a:srgbClr val="92D050"/>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'Assunti Cessati'!$C$5:$C$8</c:f>
              <c:strCache>
                <c:ptCount val="4"/>
                <c:pt idx="0">
                  <c:v>COMPARTO</c:v>
                </c:pt>
                <c:pt idx="1">
                  <c:v>DIRIGENZA MEDICA E VETERINARIA</c:v>
                </c:pt>
                <c:pt idx="2">
                  <c:v>DIRIGENZA NON MEDICA</c:v>
                </c:pt>
                <c:pt idx="3">
                  <c:v>Totale complessivo</c:v>
                </c:pt>
              </c:strCache>
            </c:strRef>
          </c:cat>
          <c:val>
            <c:numRef>
              <c:f>'Assunti Cessati'!$F$5:$F$8</c:f>
              <c:numCache>
                <c:formatCode>_-* #,##0_-;\-* #,##0_-;_-* "-"??_-;_-@_-</c:formatCode>
                <c:ptCount val="4"/>
                <c:pt idx="0">
                  <c:v>3640</c:v>
                </c:pt>
                <c:pt idx="1">
                  <c:v>708</c:v>
                </c:pt>
                <c:pt idx="2">
                  <c:v>198</c:v>
                </c:pt>
                <c:pt idx="3">
                  <c:v>4546</c:v>
                </c:pt>
              </c:numCache>
            </c:numRef>
          </c:val>
        </c:ser>
        <c:ser>
          <c:idx val="3"/>
          <c:order val="3"/>
          <c:tx>
            <c:strRef>
              <c:f>'Assunti Cessati'!$G$4</c:f>
              <c:strCache>
                <c:ptCount val="1"/>
                <c:pt idx="0">
                  <c:v>Presenti 31/12/2017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'Assunti Cessati'!$C$5:$C$8</c:f>
              <c:strCache>
                <c:ptCount val="4"/>
                <c:pt idx="0">
                  <c:v>COMPARTO</c:v>
                </c:pt>
                <c:pt idx="1">
                  <c:v>DIRIGENZA MEDICA E VETERINARIA</c:v>
                </c:pt>
                <c:pt idx="2">
                  <c:v>DIRIGENZA NON MEDICA</c:v>
                </c:pt>
                <c:pt idx="3">
                  <c:v>Totale complessivo</c:v>
                </c:pt>
              </c:strCache>
            </c:strRef>
          </c:cat>
          <c:val>
            <c:numRef>
              <c:f>'Assunti Cessati'!$G$5:$G$8</c:f>
              <c:numCache>
                <c:formatCode>_-* #,##0_-;\-* #,##0_-;_-* "-"??_-;_-@_-</c:formatCode>
                <c:ptCount val="4"/>
                <c:pt idx="0">
                  <c:v>3648</c:v>
                </c:pt>
                <c:pt idx="1">
                  <c:v>719</c:v>
                </c:pt>
                <c:pt idx="2">
                  <c:v>200</c:v>
                </c:pt>
                <c:pt idx="3">
                  <c:v>4567</c:v>
                </c:pt>
              </c:numCache>
            </c:numRef>
          </c:val>
        </c:ser>
        <c:dLbls>
          <c:showLegendKey val="0"/>
          <c:showVal val="0"/>
          <c:showCatName val="0"/>
          <c:showSerName val="0"/>
          <c:showPercent val="0"/>
          <c:showBubbleSize val="0"/>
        </c:dLbls>
        <c:gapWidth val="150"/>
        <c:axId val="498104744"/>
        <c:axId val="498101216"/>
      </c:barChart>
      <c:lineChart>
        <c:grouping val="standard"/>
        <c:varyColors val="0"/>
        <c:ser>
          <c:idx val="0"/>
          <c:order val="0"/>
          <c:tx>
            <c:strRef>
              <c:f>'Assunti Cessati'!$D$4</c:f>
              <c:strCache>
                <c:ptCount val="1"/>
                <c:pt idx="0">
                  <c:v>Assunti 2017</c:v>
                </c:pt>
              </c:strCache>
            </c:strRef>
          </c:tx>
          <c:marker>
            <c:symbol val="none"/>
          </c:marker>
          <c:dLbls>
            <c:dLbl>
              <c:idx val="1"/>
              <c:layout>
                <c:manualLayout>
                  <c:x val="-1.7553623188405799E-2"/>
                  <c:y val="-6.60474716202270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336231884058053E-2"/>
                  <c:y val="-0.11971104231166159"/>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'Assunti Cessati'!$C$5:$C$8</c:f>
              <c:strCache>
                <c:ptCount val="4"/>
                <c:pt idx="0">
                  <c:v>COMPARTO</c:v>
                </c:pt>
                <c:pt idx="1">
                  <c:v>DIRIGENZA MEDICA E VETERINARIA</c:v>
                </c:pt>
                <c:pt idx="2">
                  <c:v>DIRIGENZA NON MEDICA</c:v>
                </c:pt>
                <c:pt idx="3">
                  <c:v>Totale complessivo</c:v>
                </c:pt>
              </c:strCache>
            </c:strRef>
          </c:cat>
          <c:val>
            <c:numRef>
              <c:f>'Assunti Cessati'!$D$5:$D$8</c:f>
              <c:numCache>
                <c:formatCode>_-* #,##0_-;\-* #,##0_-;_-* "-"??_-;_-@_-</c:formatCode>
                <c:ptCount val="4"/>
                <c:pt idx="0">
                  <c:v>199</c:v>
                </c:pt>
                <c:pt idx="1">
                  <c:v>66</c:v>
                </c:pt>
                <c:pt idx="2">
                  <c:v>19</c:v>
                </c:pt>
                <c:pt idx="3">
                  <c:v>284</c:v>
                </c:pt>
              </c:numCache>
            </c:numRef>
          </c:val>
          <c:smooth val="0"/>
        </c:ser>
        <c:ser>
          <c:idx val="1"/>
          <c:order val="1"/>
          <c:tx>
            <c:strRef>
              <c:f>'Assunti Cessati'!$E$4</c:f>
              <c:strCache>
                <c:ptCount val="1"/>
                <c:pt idx="0">
                  <c:v>Cessati 2017</c:v>
                </c:pt>
              </c:strCache>
            </c:strRef>
          </c:tx>
          <c:marker>
            <c:symbol val="none"/>
          </c:marker>
          <c:dLbls>
            <c:dLbl>
              <c:idx val="0"/>
              <c:layout>
                <c:manualLayout>
                  <c:x val="-4.662038114800867E-2"/>
                  <c:y val="3.71517027863777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9292753623188449E-2"/>
                  <c:y val="0"/>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1466666666666664E-2"/>
                  <c:y val="-9.081527347781233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'Assunti Cessati'!$C$5:$C$8</c:f>
              <c:strCache>
                <c:ptCount val="4"/>
                <c:pt idx="0">
                  <c:v>COMPARTO</c:v>
                </c:pt>
                <c:pt idx="1">
                  <c:v>DIRIGENZA MEDICA E VETERINARIA</c:v>
                </c:pt>
                <c:pt idx="2">
                  <c:v>DIRIGENZA NON MEDICA</c:v>
                </c:pt>
                <c:pt idx="3">
                  <c:v>Totale complessivo</c:v>
                </c:pt>
              </c:strCache>
            </c:strRef>
          </c:cat>
          <c:val>
            <c:numRef>
              <c:f>'Assunti Cessati'!$E$5:$E$8</c:f>
              <c:numCache>
                <c:formatCode>_-* #,##0_-;\-* #,##0_-;_-* "-"??_-;_-@_-</c:formatCode>
                <c:ptCount val="4"/>
                <c:pt idx="0">
                  <c:v>191</c:v>
                </c:pt>
                <c:pt idx="1">
                  <c:v>55</c:v>
                </c:pt>
                <c:pt idx="2">
                  <c:v>17</c:v>
                </c:pt>
                <c:pt idx="3">
                  <c:v>263</c:v>
                </c:pt>
              </c:numCache>
            </c:numRef>
          </c:val>
          <c:smooth val="0"/>
        </c:ser>
        <c:dLbls>
          <c:dLblPos val="ctr"/>
          <c:showLegendKey val="0"/>
          <c:showVal val="1"/>
          <c:showCatName val="0"/>
          <c:showSerName val="0"/>
          <c:showPercent val="0"/>
          <c:showBubbleSize val="0"/>
        </c:dLbls>
        <c:marker val="1"/>
        <c:smooth val="0"/>
        <c:axId val="498101608"/>
        <c:axId val="498099256"/>
      </c:lineChart>
      <c:catAx>
        <c:axId val="498104744"/>
        <c:scaling>
          <c:orientation val="minMax"/>
        </c:scaling>
        <c:delete val="0"/>
        <c:axPos val="b"/>
        <c:numFmt formatCode="General" sourceLinked="1"/>
        <c:majorTickMark val="out"/>
        <c:minorTickMark val="none"/>
        <c:tickLblPos val="nextTo"/>
        <c:txPr>
          <a:bodyPr rot="0" vert="horz"/>
          <a:lstStyle/>
          <a:p>
            <a:pPr>
              <a:defRPr sz="900" b="0" i="0" u="none" strike="noStrike" baseline="0">
                <a:ln>
                  <a:noFill/>
                </a:ln>
                <a:solidFill>
                  <a:srgbClr val="00B050"/>
                </a:solidFill>
                <a:effectLst/>
                <a:latin typeface="Calibri"/>
                <a:ea typeface="Calibri"/>
                <a:cs typeface="Calibri"/>
              </a:defRPr>
            </a:pPr>
            <a:endParaRPr lang="it-IT"/>
          </a:p>
        </c:txPr>
        <c:crossAx val="498101216"/>
        <c:crosses val="autoZero"/>
        <c:auto val="1"/>
        <c:lblAlgn val="ctr"/>
        <c:lblOffset val="10"/>
        <c:noMultiLvlLbl val="0"/>
      </c:catAx>
      <c:valAx>
        <c:axId val="498101216"/>
        <c:scaling>
          <c:orientation val="minMax"/>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it-IT"/>
          </a:p>
        </c:txPr>
        <c:crossAx val="498104744"/>
        <c:crosses val="autoZero"/>
        <c:crossBetween val="between"/>
      </c:valAx>
      <c:valAx>
        <c:axId val="498099256"/>
        <c:scaling>
          <c:orientation val="minMax"/>
        </c:scaling>
        <c:delete val="0"/>
        <c:axPos val="r"/>
        <c:numFmt formatCode="_-* #,##0_-;\-* #,##0_-;_-* &quot;-&quot;??_-;_-@_-" sourceLinked="1"/>
        <c:majorTickMark val="out"/>
        <c:minorTickMark val="none"/>
        <c:tickLblPos val="nextTo"/>
        <c:crossAx val="498101608"/>
        <c:crosses val="max"/>
        <c:crossBetween val="between"/>
      </c:valAx>
      <c:catAx>
        <c:axId val="498101608"/>
        <c:scaling>
          <c:orientation val="minMax"/>
        </c:scaling>
        <c:delete val="1"/>
        <c:axPos val="b"/>
        <c:numFmt formatCode="General" sourceLinked="1"/>
        <c:majorTickMark val="out"/>
        <c:minorTickMark val="none"/>
        <c:tickLblPos val="nextTo"/>
        <c:crossAx val="498099256"/>
        <c:crosses val="autoZero"/>
        <c:auto val="1"/>
        <c:lblAlgn val="ctr"/>
        <c:lblOffset val="100"/>
        <c:noMultiLvlLbl val="0"/>
      </c:catAx>
    </c:plotArea>
    <c:legend>
      <c:legendPos val="b"/>
      <c:layout>
        <c:manualLayout>
          <c:xMode val="edge"/>
          <c:yMode val="edge"/>
          <c:x val="3.3592696565103289E-2"/>
          <c:y val="0.88502506846086959"/>
          <c:w val="0.96640730343489667"/>
          <c:h val="9.020712968154522E-2"/>
        </c:manualLayout>
      </c:layout>
      <c:overlay val="0"/>
      <c:txPr>
        <a:bodyPr/>
        <a:lstStyle/>
        <a:p>
          <a:pPr>
            <a:defRPr sz="700" b="0" i="0" u="none" strike="noStrike" baseline="0">
              <a:solidFill>
                <a:srgbClr val="000000"/>
              </a:solidFill>
              <a:latin typeface="Calibri"/>
              <a:ea typeface="Calibri"/>
              <a:cs typeface="Calibri"/>
            </a:defRPr>
          </a:pPr>
          <a:endParaRPr lang="it-I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Screening Colon Retto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Screening!$D$19</c:f>
              <c:strCache>
                <c:ptCount val="1"/>
                <c:pt idx="0">
                  <c:v>MO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Screening!$C$20:$C$22</c:f>
              <c:strCache>
                <c:ptCount val="3"/>
                <c:pt idx="0">
                  <c:v>Estensione </c:v>
                </c:pt>
                <c:pt idx="1">
                  <c:v>Adesione</c:v>
                </c:pt>
                <c:pt idx="2">
                  <c:v>Attesa 2° livello</c:v>
                </c:pt>
              </c:strCache>
            </c:strRef>
          </c:cat>
          <c:val>
            <c:numRef>
              <c:f>Screening!$D$20:$D$22</c:f>
              <c:numCache>
                <c:formatCode>0.0%</c:formatCode>
                <c:ptCount val="3"/>
                <c:pt idx="0">
                  <c:v>0.98499999999999999</c:v>
                </c:pt>
                <c:pt idx="1">
                  <c:v>0.54700000000000004</c:v>
                </c:pt>
                <c:pt idx="2">
                  <c:v>0.93700000000000006</c:v>
                </c:pt>
              </c:numCache>
            </c:numRef>
          </c:val>
        </c:ser>
        <c:ser>
          <c:idx val="1"/>
          <c:order val="1"/>
          <c:tx>
            <c:strRef>
              <c:f>Screening!$E$19</c:f>
              <c:strCache>
                <c:ptCount val="1"/>
                <c:pt idx="0">
                  <c:v>MO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Screening!$C$20:$C$22</c:f>
              <c:strCache>
                <c:ptCount val="3"/>
                <c:pt idx="0">
                  <c:v>Estensione </c:v>
                </c:pt>
                <c:pt idx="1">
                  <c:v>Adesione</c:v>
                </c:pt>
                <c:pt idx="2">
                  <c:v>Attesa 2° livello</c:v>
                </c:pt>
              </c:strCache>
            </c:strRef>
          </c:cat>
          <c:val>
            <c:numRef>
              <c:f>Screening!$E$20:$E$22</c:f>
              <c:numCache>
                <c:formatCode>0.0%</c:formatCode>
                <c:ptCount val="3"/>
                <c:pt idx="0">
                  <c:v>0.872</c:v>
                </c:pt>
                <c:pt idx="1">
                  <c:v>0.52800000000000002</c:v>
                </c:pt>
                <c:pt idx="2">
                  <c:v>0.94099999999999995</c:v>
                </c:pt>
              </c:numCache>
            </c:numRef>
          </c:val>
        </c:ser>
        <c:dLbls>
          <c:dLblPos val="outEnd"/>
          <c:showLegendKey val="0"/>
          <c:showVal val="1"/>
          <c:showCatName val="0"/>
          <c:showSerName val="0"/>
          <c:showPercent val="0"/>
          <c:showBubbleSize val="0"/>
        </c:dLbls>
        <c:gapWidth val="219"/>
        <c:overlap val="-27"/>
        <c:axId val="560678688"/>
        <c:axId val="560679472"/>
      </c:barChart>
      <c:catAx>
        <c:axId val="56067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79472"/>
        <c:crosses val="autoZero"/>
        <c:auto val="1"/>
        <c:lblAlgn val="ctr"/>
        <c:lblOffset val="100"/>
        <c:noMultiLvlLbl val="0"/>
      </c:catAx>
      <c:valAx>
        <c:axId val="560679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7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Personale in assegnazione temporanea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tx>
            <c:strRef>
              <c:f>'Pers Ass Temp'!$K$3</c:f>
              <c:strCache>
                <c:ptCount val="1"/>
                <c:pt idx="0">
                  <c:v>1 gennaio 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'Pers Ass Temp'!$I$4:$J$9</c:f>
              <c:multiLvlStrCache>
                <c:ptCount val="6"/>
                <c:lvl>
                  <c:pt idx="0">
                    <c:v>AMMINISTRATIVO</c:v>
                  </c:pt>
                  <c:pt idx="1">
                    <c:v>SANITARIO</c:v>
                  </c:pt>
                  <c:pt idx="2">
                    <c:v>TECNICO</c:v>
                  </c:pt>
                  <c:pt idx="3">
                    <c:v>AMMINISTRATIVO</c:v>
                  </c:pt>
                  <c:pt idx="4">
                    <c:v>PROFESSIONALE</c:v>
                  </c:pt>
                  <c:pt idx="5">
                    <c:v>SANITARIO</c:v>
                  </c:pt>
                </c:lvl>
                <c:lvl>
                  <c:pt idx="0">
                    <c:v>Comparto</c:v>
                  </c:pt>
                  <c:pt idx="3">
                    <c:v>Dirigenza</c:v>
                  </c:pt>
                </c:lvl>
              </c:multiLvlStrCache>
            </c:multiLvlStrRef>
          </c:cat>
          <c:val>
            <c:numRef>
              <c:f>'Pers Ass Temp'!$K$4:$K$9</c:f>
              <c:numCache>
                <c:formatCode>General</c:formatCode>
                <c:ptCount val="6"/>
                <c:pt idx="0">
                  <c:v>31</c:v>
                </c:pt>
                <c:pt idx="1">
                  <c:v>766</c:v>
                </c:pt>
                <c:pt idx="2">
                  <c:v>195</c:v>
                </c:pt>
                <c:pt idx="3">
                  <c:v>1</c:v>
                </c:pt>
                <c:pt idx="4">
                  <c:v>1</c:v>
                </c:pt>
                <c:pt idx="5">
                  <c:v>264</c:v>
                </c:pt>
              </c:numCache>
            </c:numRef>
          </c:val>
        </c:ser>
        <c:ser>
          <c:idx val="1"/>
          <c:order val="1"/>
          <c:tx>
            <c:strRef>
              <c:f>'Pers Ass Temp'!$L$3</c:f>
              <c:strCache>
                <c:ptCount val="1"/>
                <c:pt idx="0">
                  <c:v>31 dicembre 2017</c:v>
                </c:pt>
              </c:strCache>
            </c:strRef>
          </c:tx>
          <c:spPr>
            <a:solidFill>
              <a:schemeClr val="accent2"/>
            </a:solidFill>
            <a:ln>
              <a:noFill/>
            </a:ln>
            <a:effectLst/>
          </c:spPr>
          <c:invertIfNegative val="0"/>
          <c:dLbls>
            <c:dLbl>
              <c:idx val="0"/>
              <c:layout>
                <c:manualLayout>
                  <c:x val="2.5000000000000001E-2"/>
                  <c:y val="-2.77777777777778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6111111111111011E-2"/>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6666666666666666E-2"/>
                  <c:y val="-1.85185185185185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5000000000000001E-2"/>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3333333333333229E-2"/>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'Pers Ass Temp'!$I$4:$J$9</c:f>
              <c:multiLvlStrCache>
                <c:ptCount val="6"/>
                <c:lvl>
                  <c:pt idx="0">
                    <c:v>AMMINISTRATIVO</c:v>
                  </c:pt>
                  <c:pt idx="1">
                    <c:v>SANITARIO</c:v>
                  </c:pt>
                  <c:pt idx="2">
                    <c:v>TECNICO</c:v>
                  </c:pt>
                  <c:pt idx="3">
                    <c:v>AMMINISTRATIVO</c:v>
                  </c:pt>
                  <c:pt idx="4">
                    <c:v>PROFESSIONALE</c:v>
                  </c:pt>
                  <c:pt idx="5">
                    <c:v>SANITARIO</c:v>
                  </c:pt>
                </c:lvl>
                <c:lvl>
                  <c:pt idx="0">
                    <c:v>Comparto</c:v>
                  </c:pt>
                  <c:pt idx="3">
                    <c:v>Dirigenza</c:v>
                  </c:pt>
                </c:lvl>
              </c:multiLvlStrCache>
            </c:multiLvlStrRef>
          </c:cat>
          <c:val>
            <c:numRef>
              <c:f>'Pers Ass Temp'!$L$4:$L$9</c:f>
              <c:numCache>
                <c:formatCode>General</c:formatCode>
                <c:ptCount val="6"/>
                <c:pt idx="0">
                  <c:v>32</c:v>
                </c:pt>
                <c:pt idx="1">
                  <c:v>759</c:v>
                </c:pt>
                <c:pt idx="2">
                  <c:v>199</c:v>
                </c:pt>
                <c:pt idx="3">
                  <c:v>1</c:v>
                </c:pt>
                <c:pt idx="4">
                  <c:v>1</c:v>
                </c:pt>
                <c:pt idx="5">
                  <c:v>260</c:v>
                </c:pt>
              </c:numCache>
            </c:numRef>
          </c:val>
        </c:ser>
        <c:dLbls>
          <c:dLblPos val="outEnd"/>
          <c:showLegendKey val="0"/>
          <c:showVal val="1"/>
          <c:showCatName val="0"/>
          <c:showSerName val="0"/>
          <c:showPercent val="0"/>
          <c:showBubbleSize val="0"/>
        </c:dLbls>
        <c:gapWidth val="182"/>
        <c:axId val="498099648"/>
        <c:axId val="498102784"/>
      </c:barChart>
      <c:catAx>
        <c:axId val="49809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102784"/>
        <c:crosses val="autoZero"/>
        <c:auto val="1"/>
        <c:lblAlgn val="ctr"/>
        <c:lblOffset val="100"/>
        <c:noMultiLvlLbl val="0"/>
      </c:catAx>
      <c:valAx>
        <c:axId val="498102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09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Quota FSR  destinata alla AOU di Modena</a:t>
            </a:r>
            <a:r>
              <a:rPr lang="it-IT" baseline="0"/>
              <a:t> a valere sul finanziamento AUSL di Modena</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Finanziamento!$B$2:$E$2</c:f>
              <c:strCache>
                <c:ptCount val="4"/>
                <c:pt idx="0">
                  <c:v>Incidenza su produzione AOSP compreso NOCSAE</c:v>
                </c:pt>
                <c:pt idx="1">
                  <c:v>Pronto Soccorso Baggiovara</c:v>
                </c:pt>
                <c:pt idx="2">
                  <c:v>Eccellenza su DRG prodotti</c:v>
                </c:pt>
                <c:pt idx="3">
                  <c:v>Trauma center</c:v>
                </c:pt>
              </c:strCache>
            </c:strRef>
          </c:cat>
          <c:val>
            <c:numRef>
              <c:f>Finanziamento!$B$3:$E$3</c:f>
              <c:numCache>
                <c:formatCode>#,##0</c:formatCode>
                <c:ptCount val="4"/>
                <c:pt idx="0">
                  <c:v>4900659</c:v>
                </c:pt>
                <c:pt idx="1">
                  <c:v>2461095</c:v>
                </c:pt>
                <c:pt idx="2">
                  <c:v>2559136</c:v>
                </c:pt>
                <c:pt idx="3">
                  <c:v>2100000</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Dispositivi</a:t>
            </a:r>
            <a:r>
              <a:rPr lang="it-IT" baseline="0"/>
              <a:t> Medici</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DM!$D$3:$D$5</c:f>
              <c:strCache>
                <c:ptCount val="3"/>
                <c:pt idx="0">
                  <c:v>Consuntivo 2015</c:v>
                </c:pt>
                <c:pt idx="1">
                  <c:v>Consuntivo 2016</c:v>
                </c:pt>
                <c:pt idx="2">
                  <c:v>Consuntivo 2017</c:v>
                </c:pt>
              </c:strCache>
            </c:strRef>
          </c:cat>
          <c:val>
            <c:numRef>
              <c:f>DM!$E$3:$E$5</c:f>
              <c:numCache>
                <c:formatCode>#,##0.0</c:formatCode>
                <c:ptCount val="3"/>
                <c:pt idx="0">
                  <c:v>49957723</c:v>
                </c:pt>
                <c:pt idx="1">
                  <c:v>48732000</c:v>
                </c:pt>
                <c:pt idx="2">
                  <c:v>30500000</c:v>
                </c:pt>
              </c:numCache>
            </c:numRef>
          </c:val>
        </c:ser>
        <c:dLbls>
          <c:dLblPos val="outEnd"/>
          <c:showLegendKey val="0"/>
          <c:showVal val="1"/>
          <c:showCatName val="0"/>
          <c:showSerName val="0"/>
          <c:showPercent val="0"/>
          <c:showBubbleSize val="0"/>
        </c:dLbls>
        <c:gapWidth val="219"/>
        <c:overlap val="-27"/>
        <c:axId val="498094160"/>
        <c:axId val="498094552"/>
      </c:barChart>
      <c:catAx>
        <c:axId val="49809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094552"/>
        <c:crosses val="autoZero"/>
        <c:auto val="1"/>
        <c:lblAlgn val="ctr"/>
        <c:lblOffset val="100"/>
        <c:noMultiLvlLbl val="0"/>
      </c:catAx>
      <c:valAx>
        <c:axId val="498094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09416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Sintesi valutazione indicatori INSIDER PdP 2017
Azienda USL di Modena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dPt>
          <c:dPt>
            <c:idx val="1"/>
            <c:invertIfNegative val="0"/>
            <c:bubble3D val="0"/>
            <c:spPr>
              <a:solidFill>
                <a:srgbClr val="92D050"/>
              </a:solidFill>
              <a:ln>
                <a:noFill/>
              </a:ln>
              <a:effectLst/>
            </c:spPr>
          </c:dPt>
          <c:dPt>
            <c:idx val="2"/>
            <c:invertIfNegative val="0"/>
            <c:bubble3D val="0"/>
            <c:spPr>
              <a:solidFill>
                <a:srgbClr val="FFFF00"/>
              </a:solidFill>
              <a:ln>
                <a:noFill/>
              </a:ln>
              <a:effectLst/>
            </c:spPr>
          </c:dPt>
          <c:dPt>
            <c:idx val="3"/>
            <c:invertIfNegative val="0"/>
            <c:bubble3D val="0"/>
            <c:spPr>
              <a:solidFill>
                <a:srgbClr val="FF0066"/>
              </a:solidFill>
              <a:ln>
                <a:noFill/>
              </a:ln>
              <a:effectLst/>
            </c:spPr>
          </c:dPt>
          <c:dPt>
            <c:idx val="4"/>
            <c:invertIfNegative val="0"/>
            <c:bubble3D val="0"/>
            <c:spPr>
              <a:solidFill>
                <a:srgbClr val="00206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Foglio1!$F$2:$F$6</c:f>
              <c:strCache>
                <c:ptCount val="5"/>
                <c:pt idx="0">
                  <c:v>ottimo</c:v>
                </c:pt>
                <c:pt idx="1">
                  <c:v>buono</c:v>
                </c:pt>
                <c:pt idx="2">
                  <c:v>medio</c:v>
                </c:pt>
                <c:pt idx="3">
                  <c:v>non valutato</c:v>
                </c:pt>
                <c:pt idx="4">
                  <c:v>osservazionale</c:v>
                </c:pt>
              </c:strCache>
            </c:strRef>
          </c:cat>
          <c:val>
            <c:numRef>
              <c:f>Foglio1!$E$2:$E$6</c:f>
              <c:numCache>
                <c:formatCode>General</c:formatCode>
                <c:ptCount val="5"/>
                <c:pt idx="0">
                  <c:v>18</c:v>
                </c:pt>
                <c:pt idx="1">
                  <c:v>10</c:v>
                </c:pt>
                <c:pt idx="2">
                  <c:v>8</c:v>
                </c:pt>
                <c:pt idx="3">
                  <c:v>16</c:v>
                </c:pt>
                <c:pt idx="4">
                  <c:v>22</c:v>
                </c:pt>
              </c:numCache>
            </c:numRef>
          </c:val>
        </c:ser>
        <c:dLbls>
          <c:showLegendKey val="0"/>
          <c:showVal val="0"/>
          <c:showCatName val="0"/>
          <c:showSerName val="0"/>
          <c:showPercent val="0"/>
          <c:showBubbleSize val="0"/>
        </c:dLbls>
        <c:gapWidth val="219"/>
        <c:overlap val="-27"/>
        <c:axId val="498107880"/>
        <c:axId val="498108272"/>
      </c:barChart>
      <c:catAx>
        <c:axId val="49810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108272"/>
        <c:crosses val="autoZero"/>
        <c:auto val="1"/>
        <c:lblAlgn val="ctr"/>
        <c:lblOffset val="100"/>
        <c:noMultiLvlLbl val="0"/>
      </c:catAx>
      <c:valAx>
        <c:axId val="49810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8107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it-IT" sz="1100"/>
              <a:t>Costo pro capite  (senza integrazione AO/AOU/IRCCS)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Azienda!$B$2</c:f>
              <c:strCache>
                <c:ptCount val="1"/>
                <c:pt idx="0">
                  <c:v>AUSL MO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Azienda!$A$3:$A$6</c:f>
              <c:numCache>
                <c:formatCode>General</c:formatCode>
                <c:ptCount val="4"/>
                <c:pt idx="0">
                  <c:v>2013</c:v>
                </c:pt>
                <c:pt idx="1">
                  <c:v>2014</c:v>
                </c:pt>
                <c:pt idx="2">
                  <c:v>2015</c:v>
                </c:pt>
                <c:pt idx="3">
                  <c:v>2016</c:v>
                </c:pt>
              </c:numCache>
            </c:numRef>
          </c:cat>
          <c:val>
            <c:numRef>
              <c:f>Azienda!$B$3:$B$6</c:f>
              <c:numCache>
                <c:formatCode>#,##0</c:formatCode>
                <c:ptCount val="4"/>
                <c:pt idx="0">
                  <c:v>1725</c:v>
                </c:pt>
                <c:pt idx="1">
                  <c:v>1737.3</c:v>
                </c:pt>
                <c:pt idx="2">
                  <c:v>1749.83</c:v>
                </c:pt>
                <c:pt idx="3">
                  <c:v>1741.49</c:v>
                </c:pt>
              </c:numCache>
            </c:numRef>
          </c:val>
        </c:ser>
        <c:ser>
          <c:idx val="1"/>
          <c:order val="1"/>
          <c:tx>
            <c:strRef>
              <c:f>Azienda!$C$2</c:f>
              <c:strCache>
                <c:ptCount val="1"/>
                <c:pt idx="0">
                  <c:v>RER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Azienda!$A$3:$A$6</c:f>
              <c:numCache>
                <c:formatCode>General</c:formatCode>
                <c:ptCount val="4"/>
                <c:pt idx="0">
                  <c:v>2013</c:v>
                </c:pt>
                <c:pt idx="1">
                  <c:v>2014</c:v>
                </c:pt>
                <c:pt idx="2">
                  <c:v>2015</c:v>
                </c:pt>
                <c:pt idx="3">
                  <c:v>2016</c:v>
                </c:pt>
              </c:numCache>
            </c:numRef>
          </c:cat>
          <c:val>
            <c:numRef>
              <c:f>Azienda!$C$3:$C$6</c:f>
              <c:numCache>
                <c:formatCode>#,##0</c:formatCode>
                <c:ptCount val="4"/>
                <c:pt idx="0">
                  <c:v>1721</c:v>
                </c:pt>
                <c:pt idx="1">
                  <c:v>1735.58</c:v>
                </c:pt>
                <c:pt idx="2">
                  <c:v>1750.34</c:v>
                </c:pt>
                <c:pt idx="3">
                  <c:v>1750.13</c:v>
                </c:pt>
              </c:numCache>
            </c:numRef>
          </c:val>
        </c:ser>
        <c:dLbls>
          <c:dLblPos val="outEnd"/>
          <c:showLegendKey val="0"/>
          <c:showVal val="1"/>
          <c:showCatName val="0"/>
          <c:showSerName val="0"/>
          <c:showPercent val="0"/>
          <c:showBubbleSize val="0"/>
        </c:dLbls>
        <c:gapWidth val="219"/>
        <c:overlap val="-27"/>
        <c:axId val="560695544"/>
        <c:axId val="560690448"/>
      </c:barChart>
      <c:catAx>
        <c:axId val="56069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0448"/>
        <c:crosses val="autoZero"/>
        <c:auto val="1"/>
        <c:lblAlgn val="ctr"/>
        <c:lblOffset val="100"/>
        <c:noMultiLvlLbl val="0"/>
      </c:catAx>
      <c:valAx>
        <c:axId val="560690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5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it-IT" sz="1100"/>
              <a:t>Costo pro capite  integrazione AO/AOU/IRCCS </a:t>
            </a:r>
            <a:r>
              <a:rPr lang="it-IT" sz="1100" b="0" i="0" u="none" strike="noStrike" baseline="0">
                <a:effectLst/>
              </a:rPr>
              <a:t>(€)</a:t>
            </a:r>
            <a:endParaRPr lang="it-IT"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Azienda!$B$9</c:f>
              <c:strCache>
                <c:ptCount val="1"/>
                <c:pt idx="0">
                  <c:v>AUSL MO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Azienda!$A$10:$A$13</c:f>
              <c:numCache>
                <c:formatCode>General</c:formatCode>
                <c:ptCount val="4"/>
                <c:pt idx="0">
                  <c:v>2013</c:v>
                </c:pt>
                <c:pt idx="1">
                  <c:v>2014</c:v>
                </c:pt>
                <c:pt idx="2">
                  <c:v>2015</c:v>
                </c:pt>
                <c:pt idx="3">
                  <c:v>2016</c:v>
                </c:pt>
              </c:numCache>
            </c:numRef>
          </c:cat>
          <c:val>
            <c:numRef>
              <c:f>Azienda!$B$10:$B$13</c:f>
              <c:numCache>
                <c:formatCode>#,##0</c:formatCode>
                <c:ptCount val="4"/>
                <c:pt idx="0">
                  <c:v>80.61</c:v>
                </c:pt>
                <c:pt idx="1">
                  <c:v>78.63</c:v>
                </c:pt>
                <c:pt idx="2">
                  <c:v>81.069999999999993</c:v>
                </c:pt>
                <c:pt idx="3">
                  <c:v>83.76</c:v>
                </c:pt>
              </c:numCache>
            </c:numRef>
          </c:val>
        </c:ser>
        <c:ser>
          <c:idx val="1"/>
          <c:order val="1"/>
          <c:tx>
            <c:strRef>
              <c:f>Azienda!$C$9</c:f>
              <c:strCache>
                <c:ptCount val="1"/>
                <c:pt idx="0">
                  <c:v>RER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Azienda!$A$10:$A$13</c:f>
              <c:numCache>
                <c:formatCode>General</c:formatCode>
                <c:ptCount val="4"/>
                <c:pt idx="0">
                  <c:v>2013</c:v>
                </c:pt>
                <c:pt idx="1">
                  <c:v>2014</c:v>
                </c:pt>
                <c:pt idx="2">
                  <c:v>2015</c:v>
                </c:pt>
                <c:pt idx="3">
                  <c:v>2016</c:v>
                </c:pt>
              </c:numCache>
            </c:numRef>
          </c:cat>
          <c:val>
            <c:numRef>
              <c:f>Azienda!$C$10:$C$13</c:f>
              <c:numCache>
                <c:formatCode>#,##0</c:formatCode>
                <c:ptCount val="4"/>
                <c:pt idx="0">
                  <c:v>89.44</c:v>
                </c:pt>
                <c:pt idx="1">
                  <c:v>87.54</c:v>
                </c:pt>
                <c:pt idx="2">
                  <c:v>93.45</c:v>
                </c:pt>
                <c:pt idx="3">
                  <c:v>92.36</c:v>
                </c:pt>
              </c:numCache>
            </c:numRef>
          </c:val>
        </c:ser>
        <c:dLbls>
          <c:dLblPos val="outEnd"/>
          <c:showLegendKey val="0"/>
          <c:showVal val="1"/>
          <c:showCatName val="0"/>
          <c:showSerName val="0"/>
          <c:showPercent val="0"/>
          <c:showBubbleSize val="0"/>
        </c:dLbls>
        <c:gapWidth val="219"/>
        <c:overlap val="-27"/>
        <c:axId val="560688880"/>
        <c:axId val="560694368"/>
      </c:barChart>
      <c:catAx>
        <c:axId val="56068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4368"/>
        <c:crosses val="autoZero"/>
        <c:auto val="1"/>
        <c:lblAlgn val="ctr"/>
        <c:lblOffset val="100"/>
        <c:noMultiLvlLbl val="0"/>
      </c:catAx>
      <c:valAx>
        <c:axId val="560694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8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17" b="0" i="0" u="none" strike="noStrike" kern="1200" spc="0" baseline="0">
                <a:solidFill>
                  <a:schemeClr val="tx1">
                    <a:lumMod val="65000"/>
                    <a:lumOff val="35000"/>
                  </a:schemeClr>
                </a:solidFill>
                <a:latin typeface="+mn-lt"/>
                <a:ea typeface="+mn-ea"/>
                <a:cs typeface="+mn-cs"/>
              </a:defRPr>
            </a:pPr>
            <a:r>
              <a:rPr lang="it-IT"/>
              <a:t>Costo pro capite Totale (€)</a:t>
            </a:r>
          </a:p>
        </c:rich>
      </c:tx>
      <c:overlay val="0"/>
      <c:spPr>
        <a:noFill/>
        <a:ln>
          <a:noFill/>
        </a:ln>
        <a:effectLst/>
      </c:spPr>
    </c:title>
    <c:autoTitleDeleted val="0"/>
    <c:plotArea>
      <c:layout/>
      <c:barChart>
        <c:barDir val="col"/>
        <c:grouping val="clustered"/>
        <c:varyColors val="0"/>
        <c:ser>
          <c:idx val="0"/>
          <c:order val="0"/>
          <c:tx>
            <c:strRef>
              <c:f>Azienda!$B$16</c:f>
              <c:strCache>
                <c:ptCount val="1"/>
                <c:pt idx="0">
                  <c:v>AUSL MO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98"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Azienda!$A$17:$A$20</c:f>
              <c:numCache>
                <c:formatCode>General</c:formatCode>
                <c:ptCount val="4"/>
                <c:pt idx="0">
                  <c:v>2013</c:v>
                </c:pt>
                <c:pt idx="1">
                  <c:v>2014</c:v>
                </c:pt>
                <c:pt idx="2">
                  <c:v>2015</c:v>
                </c:pt>
                <c:pt idx="3">
                  <c:v>2016</c:v>
                </c:pt>
              </c:numCache>
            </c:numRef>
          </c:cat>
          <c:val>
            <c:numRef>
              <c:f>Azienda!$B$17:$B$20</c:f>
              <c:numCache>
                <c:formatCode>#,##0</c:formatCode>
                <c:ptCount val="4"/>
                <c:pt idx="0">
                  <c:v>1805.61</c:v>
                </c:pt>
                <c:pt idx="1">
                  <c:v>1815.94</c:v>
                </c:pt>
                <c:pt idx="2">
                  <c:v>1830.91</c:v>
                </c:pt>
                <c:pt idx="3">
                  <c:v>1825.24</c:v>
                </c:pt>
              </c:numCache>
            </c:numRef>
          </c:val>
        </c:ser>
        <c:ser>
          <c:idx val="1"/>
          <c:order val="1"/>
          <c:tx>
            <c:strRef>
              <c:f>Azienda!$C$16</c:f>
              <c:strCache>
                <c:ptCount val="1"/>
                <c:pt idx="0">
                  <c:v>RER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98"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Azienda!$A$17:$A$20</c:f>
              <c:numCache>
                <c:formatCode>General</c:formatCode>
                <c:ptCount val="4"/>
                <c:pt idx="0">
                  <c:v>2013</c:v>
                </c:pt>
                <c:pt idx="1">
                  <c:v>2014</c:v>
                </c:pt>
                <c:pt idx="2">
                  <c:v>2015</c:v>
                </c:pt>
                <c:pt idx="3">
                  <c:v>2016</c:v>
                </c:pt>
              </c:numCache>
            </c:numRef>
          </c:cat>
          <c:val>
            <c:numRef>
              <c:f>Azienda!$C$17:$C$20</c:f>
              <c:numCache>
                <c:formatCode>#,##0</c:formatCode>
                <c:ptCount val="4"/>
                <c:pt idx="0">
                  <c:v>1810.27</c:v>
                </c:pt>
                <c:pt idx="1">
                  <c:v>1823.12</c:v>
                </c:pt>
                <c:pt idx="2">
                  <c:v>1843.79</c:v>
                </c:pt>
                <c:pt idx="3">
                  <c:v>1842.49</c:v>
                </c:pt>
              </c:numCache>
            </c:numRef>
          </c:val>
        </c:ser>
        <c:dLbls>
          <c:showLegendKey val="0"/>
          <c:showVal val="0"/>
          <c:showCatName val="0"/>
          <c:showSerName val="0"/>
          <c:showPercent val="0"/>
          <c:showBubbleSize val="0"/>
        </c:dLbls>
        <c:gapWidth val="219"/>
        <c:overlap val="-27"/>
        <c:axId val="560694760"/>
        <c:axId val="560699464"/>
      </c:barChart>
      <c:catAx>
        <c:axId val="560694760"/>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1098" b="0" i="0" u="none" strike="noStrike" kern="1200" baseline="0">
                <a:solidFill>
                  <a:schemeClr val="tx1">
                    <a:lumMod val="65000"/>
                    <a:lumOff val="35000"/>
                  </a:schemeClr>
                </a:solidFill>
                <a:latin typeface="+mn-lt"/>
                <a:ea typeface="+mn-ea"/>
                <a:cs typeface="+mn-cs"/>
              </a:defRPr>
            </a:pPr>
            <a:endParaRPr lang="it-IT"/>
          </a:p>
        </c:txPr>
        <c:crossAx val="560699464"/>
        <c:crosses val="autoZero"/>
        <c:auto val="1"/>
        <c:lblAlgn val="ctr"/>
        <c:lblOffset val="100"/>
        <c:noMultiLvlLbl val="0"/>
      </c:catAx>
      <c:valAx>
        <c:axId val="560699464"/>
        <c:scaling>
          <c:orientation val="minMax"/>
        </c:scaling>
        <c:delete val="0"/>
        <c:axPos val="l"/>
        <c:majorGridlines>
          <c:spPr>
            <a:ln w="950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98" b="0" i="0" u="none" strike="noStrike" kern="1200" baseline="0">
                <a:solidFill>
                  <a:schemeClr val="tx1">
                    <a:lumMod val="65000"/>
                    <a:lumOff val="35000"/>
                  </a:schemeClr>
                </a:solidFill>
                <a:latin typeface="+mn-lt"/>
                <a:ea typeface="+mn-ea"/>
                <a:cs typeface="+mn-cs"/>
              </a:defRPr>
            </a:pPr>
            <a:endParaRPr lang="it-IT"/>
          </a:p>
        </c:txPr>
        <c:crossAx val="560694760"/>
        <c:crosses val="autoZero"/>
        <c:crossBetween val="between"/>
      </c:valAx>
      <c:spPr>
        <a:noFill/>
        <a:ln w="25347">
          <a:noFill/>
        </a:ln>
      </c:spPr>
    </c:plotArea>
    <c:legend>
      <c:legendPos val="b"/>
      <c:overlay val="0"/>
      <c:spPr>
        <a:noFill/>
        <a:ln>
          <a:noFill/>
        </a:ln>
        <a:effectLst/>
      </c:spPr>
      <c:txPr>
        <a:bodyPr rot="0" spcFirstLastPara="1" vertOverflow="ellipsis" vert="horz" wrap="square" anchor="ctr" anchorCtr="1"/>
        <a:lstStyle/>
        <a:p>
          <a:pPr>
            <a:defRPr sz="1098"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noFill/>
    <a:ln>
      <a:noFill/>
    </a:ln>
    <a:effectLst/>
  </c:spPr>
  <c:txPr>
    <a:bodyPr/>
    <a:lstStyle/>
    <a:p>
      <a:pPr>
        <a:defRPr sz="1098"/>
      </a:pPr>
      <a:endParaRPr lang="it-I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Spesa Personale dipendente AUSL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Personale!$A$82</c:f>
              <c:strCache>
                <c:ptCount val="1"/>
                <c:pt idx="0">
                  <c:v>Personale dipendente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Personale!$B$81:$D$81</c:f>
              <c:strCache>
                <c:ptCount val="3"/>
                <c:pt idx="0">
                  <c:v>Consuntivo 2015</c:v>
                </c:pt>
                <c:pt idx="1">
                  <c:v>Consuntivo 2016</c:v>
                </c:pt>
                <c:pt idx="2">
                  <c:v>Consuntivo 2017</c:v>
                </c:pt>
              </c:strCache>
            </c:strRef>
          </c:cat>
          <c:val>
            <c:numRef>
              <c:f>Personale!$B$82:$D$82</c:f>
              <c:numCache>
                <c:formatCode>#,##0</c:formatCode>
                <c:ptCount val="3"/>
                <c:pt idx="0">
                  <c:v>284947901.07999998</c:v>
                </c:pt>
                <c:pt idx="1">
                  <c:v>282817293</c:v>
                </c:pt>
                <c:pt idx="2">
                  <c:v>218282240</c:v>
                </c:pt>
              </c:numCache>
            </c:numRef>
          </c:val>
        </c:ser>
        <c:dLbls>
          <c:dLblPos val="outEnd"/>
          <c:showLegendKey val="0"/>
          <c:showVal val="1"/>
          <c:showCatName val="0"/>
          <c:showSerName val="0"/>
          <c:showPercent val="0"/>
          <c:showBubbleSize val="0"/>
        </c:dLbls>
        <c:gapWidth val="219"/>
        <c:overlap val="-27"/>
        <c:axId val="560698680"/>
        <c:axId val="560699072"/>
      </c:barChart>
      <c:catAx>
        <c:axId val="56069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9072"/>
        <c:crosses val="autoZero"/>
        <c:auto val="1"/>
        <c:lblAlgn val="ctr"/>
        <c:lblOffset val="100"/>
        <c:noMultiLvlLbl val="0"/>
      </c:catAx>
      <c:valAx>
        <c:axId val="56069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Spesa Personale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stacked"/>
        <c:varyColors val="0"/>
        <c:ser>
          <c:idx val="0"/>
          <c:order val="0"/>
          <c:tx>
            <c:strRef>
              <c:f>Personale!$A$98</c:f>
              <c:strCache>
                <c:ptCount val="1"/>
                <c:pt idx="0">
                  <c:v>Totale Personale dipendente</c:v>
                </c:pt>
              </c:strCache>
            </c:strRef>
          </c:tx>
          <c:spPr>
            <a:solidFill>
              <a:schemeClr val="accent1"/>
            </a:solidFill>
            <a:ln>
              <a:noFill/>
            </a:ln>
            <a:effectLst/>
          </c:spPr>
          <c:invertIfNegative val="0"/>
          <c:dLbls>
            <c:dLbl>
              <c:idx val="0"/>
              <c:layout>
                <c:manualLayout>
                  <c:x val="5.5555555555555046E-3"/>
                  <c:y val="-0.3337653105861767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6572E-3"/>
                  <c:y val="-0.3362109944590259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Personale!$B$97:$D$97</c:f>
              <c:strCache>
                <c:ptCount val="3"/>
                <c:pt idx="0">
                  <c:v>Consuntivo 2015</c:v>
                </c:pt>
                <c:pt idx="1">
                  <c:v>Consuntivo 2016</c:v>
                </c:pt>
                <c:pt idx="2">
                  <c:v>Consuntivo 2017</c:v>
                </c:pt>
              </c:strCache>
            </c:strRef>
          </c:cat>
          <c:val>
            <c:numRef>
              <c:f>Personale!$B$98:$D$98</c:f>
              <c:numCache>
                <c:formatCode>#,##0</c:formatCode>
                <c:ptCount val="3"/>
                <c:pt idx="0">
                  <c:v>284947901.07999998</c:v>
                </c:pt>
                <c:pt idx="1">
                  <c:v>282817293</c:v>
                </c:pt>
                <c:pt idx="2">
                  <c:v>218282240</c:v>
                </c:pt>
              </c:numCache>
            </c:numRef>
          </c:val>
        </c:ser>
        <c:ser>
          <c:idx val="1"/>
          <c:order val="1"/>
          <c:tx>
            <c:strRef>
              <c:f>Personale!$A$99</c:f>
              <c:strCache>
                <c:ptCount val="1"/>
                <c:pt idx="0">
                  <c:v>Personale in assegnazione temporanea OCSAE</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Personale!$B$97:$D$97</c:f>
              <c:strCache>
                <c:ptCount val="3"/>
                <c:pt idx="0">
                  <c:v>Consuntivo 2015</c:v>
                </c:pt>
                <c:pt idx="1">
                  <c:v>Consuntivo 2016</c:v>
                </c:pt>
                <c:pt idx="2">
                  <c:v>Consuntivo 2017</c:v>
                </c:pt>
              </c:strCache>
            </c:strRef>
          </c:cat>
          <c:val>
            <c:numRef>
              <c:f>Personale!$B$99:$D$99</c:f>
              <c:numCache>
                <c:formatCode>#,##0</c:formatCode>
                <c:ptCount val="3"/>
                <c:pt idx="0">
                  <c:v>0</c:v>
                </c:pt>
                <c:pt idx="1">
                  <c:v>0</c:v>
                </c:pt>
                <c:pt idx="2">
                  <c:v>64000000</c:v>
                </c:pt>
              </c:numCache>
            </c:numRef>
          </c:val>
        </c:ser>
        <c:dLbls>
          <c:dLblPos val="inEnd"/>
          <c:showLegendKey val="0"/>
          <c:showVal val="1"/>
          <c:showCatName val="0"/>
          <c:showSerName val="0"/>
          <c:showPercent val="0"/>
          <c:showBubbleSize val="0"/>
        </c:dLbls>
        <c:gapWidth val="150"/>
        <c:overlap val="100"/>
        <c:axId val="560697896"/>
        <c:axId val="560689272"/>
      </c:barChart>
      <c:catAx>
        <c:axId val="56069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89272"/>
        <c:crosses val="autoZero"/>
        <c:auto val="1"/>
        <c:lblAlgn val="ctr"/>
        <c:lblOffset val="100"/>
        <c:noMultiLvlLbl val="0"/>
      </c:catAx>
      <c:valAx>
        <c:axId val="560689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Totale</a:t>
            </a:r>
            <a:r>
              <a:rPr lang="it-IT" baseline="0"/>
              <a:t> farmaci HT</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Farmaci!$C$3:$C$6</c:f>
              <c:strCache>
                <c:ptCount val="4"/>
                <c:pt idx="0">
                  <c:v>Consuntivo 2014</c:v>
                </c:pt>
                <c:pt idx="1">
                  <c:v>Consuntivo 2015</c:v>
                </c:pt>
                <c:pt idx="2">
                  <c:v>Consuntivo 2016</c:v>
                </c:pt>
                <c:pt idx="3">
                  <c:v>Consuntivo 2017</c:v>
                </c:pt>
              </c:strCache>
            </c:strRef>
          </c:cat>
          <c:val>
            <c:numRef>
              <c:f>Farmaci!$D$3:$D$6</c:f>
              <c:numCache>
                <c:formatCode>#,##0.0</c:formatCode>
                <c:ptCount val="4"/>
                <c:pt idx="0">
                  <c:v>89738247</c:v>
                </c:pt>
                <c:pt idx="1">
                  <c:v>115597991</c:v>
                </c:pt>
                <c:pt idx="2">
                  <c:v>123986255</c:v>
                </c:pt>
                <c:pt idx="3">
                  <c:v>114896117</c:v>
                </c:pt>
              </c:numCache>
            </c:numRef>
          </c:val>
        </c:ser>
        <c:dLbls>
          <c:dLblPos val="outEnd"/>
          <c:showLegendKey val="0"/>
          <c:showVal val="1"/>
          <c:showCatName val="0"/>
          <c:showSerName val="0"/>
          <c:showPercent val="0"/>
          <c:showBubbleSize val="0"/>
        </c:dLbls>
        <c:gapWidth val="219"/>
        <c:overlap val="-27"/>
        <c:axId val="560695936"/>
        <c:axId val="560699856"/>
      </c:barChart>
      <c:catAx>
        <c:axId val="56069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9856"/>
        <c:crosses val="autoZero"/>
        <c:auto val="1"/>
        <c:lblAlgn val="ctr"/>
        <c:lblOffset val="100"/>
        <c:noMultiLvlLbl val="0"/>
      </c:catAx>
      <c:valAx>
        <c:axId val="560699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593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Screening Utero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Screening!$D$2</c:f>
              <c:strCache>
                <c:ptCount val="1"/>
                <c:pt idx="0">
                  <c:v>MO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Screening!$C$3:$C$5</c:f>
              <c:strCache>
                <c:ptCount val="3"/>
                <c:pt idx="0">
                  <c:v>Estensione </c:v>
                </c:pt>
                <c:pt idx="1">
                  <c:v>Adesione</c:v>
                </c:pt>
                <c:pt idx="2">
                  <c:v>Attesa 2° livello</c:v>
                </c:pt>
              </c:strCache>
            </c:strRef>
          </c:cat>
          <c:val>
            <c:numRef>
              <c:f>Screening!$D$3:$D$5</c:f>
              <c:numCache>
                <c:formatCode>0.0%</c:formatCode>
                <c:ptCount val="3"/>
                <c:pt idx="0">
                  <c:v>0.997</c:v>
                </c:pt>
                <c:pt idx="1">
                  <c:v>0.69099999999999995</c:v>
                </c:pt>
                <c:pt idx="2">
                  <c:v>0.93500000000000005</c:v>
                </c:pt>
              </c:numCache>
            </c:numRef>
          </c:val>
        </c:ser>
        <c:ser>
          <c:idx val="1"/>
          <c:order val="1"/>
          <c:tx>
            <c:strRef>
              <c:f>Screening!$E$2</c:f>
              <c:strCache>
                <c:ptCount val="1"/>
                <c:pt idx="0">
                  <c:v>MO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Screening!$C$3:$C$5</c:f>
              <c:strCache>
                <c:ptCount val="3"/>
                <c:pt idx="0">
                  <c:v>Estensione </c:v>
                </c:pt>
                <c:pt idx="1">
                  <c:v>Adesione</c:v>
                </c:pt>
                <c:pt idx="2">
                  <c:v>Attesa 2° livello</c:v>
                </c:pt>
              </c:strCache>
            </c:strRef>
          </c:cat>
          <c:val>
            <c:numRef>
              <c:f>Screening!$E$3:$E$5</c:f>
              <c:numCache>
                <c:formatCode>0.0%</c:formatCode>
                <c:ptCount val="3"/>
                <c:pt idx="0">
                  <c:v>0.997</c:v>
                </c:pt>
                <c:pt idx="1">
                  <c:v>0.68899999999999995</c:v>
                </c:pt>
                <c:pt idx="2">
                  <c:v>0.91800000000000004</c:v>
                </c:pt>
              </c:numCache>
            </c:numRef>
          </c:val>
        </c:ser>
        <c:dLbls>
          <c:dLblPos val="outEnd"/>
          <c:showLegendKey val="0"/>
          <c:showVal val="1"/>
          <c:showCatName val="0"/>
          <c:showSerName val="0"/>
          <c:showPercent val="0"/>
          <c:showBubbleSize val="0"/>
        </c:dLbls>
        <c:gapWidth val="219"/>
        <c:overlap val="-27"/>
        <c:axId val="560680256"/>
        <c:axId val="560680648"/>
      </c:barChart>
      <c:catAx>
        <c:axId val="56068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80648"/>
        <c:crosses val="autoZero"/>
        <c:auto val="1"/>
        <c:lblAlgn val="ctr"/>
        <c:lblOffset val="100"/>
        <c:noMultiLvlLbl val="0"/>
      </c:catAx>
      <c:valAx>
        <c:axId val="560680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8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Spesa</a:t>
            </a:r>
            <a:r>
              <a:rPr lang="it-IT" baseline="0"/>
              <a:t> Farmaceutica</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Farmaci!$E$22</c:f>
              <c:strCache>
                <c:ptCount val="1"/>
                <c:pt idx="0">
                  <c:v>Consuntivo 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Farmaci!$D$23:$D$26</c:f>
              <c:strCache>
                <c:ptCount val="4"/>
                <c:pt idx="0">
                  <c:v>HCV</c:v>
                </c:pt>
                <c:pt idx="1">
                  <c:v>Innovativi </c:v>
                </c:pt>
                <c:pt idx="2">
                  <c:v>Vaccini</c:v>
                </c:pt>
                <c:pt idx="3">
                  <c:v>Farmaci osp; Distr.diretta; DPC</c:v>
                </c:pt>
              </c:strCache>
            </c:strRef>
          </c:cat>
          <c:val>
            <c:numRef>
              <c:f>Farmaci!$E$23:$E$26</c:f>
              <c:numCache>
                <c:formatCode>_-* #,##0.0_-;\-* #,##0.0_-;_-* "-"??_-;_-@_-</c:formatCode>
                <c:ptCount val="4"/>
                <c:pt idx="0">
                  <c:v>21233882</c:v>
                </c:pt>
                <c:pt idx="1">
                  <c:v>2170000</c:v>
                </c:pt>
                <c:pt idx="2">
                  <c:v>3432867</c:v>
                </c:pt>
                <c:pt idx="3">
                  <c:v>91702220</c:v>
                </c:pt>
              </c:numCache>
            </c:numRef>
          </c:val>
        </c:ser>
        <c:ser>
          <c:idx val="1"/>
          <c:order val="1"/>
          <c:tx>
            <c:strRef>
              <c:f>Farmaci!$F$22</c:f>
              <c:strCache>
                <c:ptCount val="1"/>
                <c:pt idx="0">
                  <c:v>Consuntivo 2016</c:v>
                </c:pt>
              </c:strCache>
            </c:strRef>
          </c:tx>
          <c:spPr>
            <a:solidFill>
              <a:schemeClr val="accent2"/>
            </a:solidFill>
            <a:ln>
              <a:noFill/>
            </a:ln>
            <a:effectLst/>
          </c:spPr>
          <c:invertIfNegative val="0"/>
          <c:dLbls>
            <c:dLbl>
              <c:idx val="0"/>
              <c:layout>
                <c:manualLayout>
                  <c:x val="2.7777777777777267E-3"/>
                  <c:y val="-9.72222222222222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779E-3"/>
                  <c:y val="-6.01851851851852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Farmaci!$D$23:$D$26</c:f>
              <c:strCache>
                <c:ptCount val="4"/>
                <c:pt idx="0">
                  <c:v>HCV</c:v>
                </c:pt>
                <c:pt idx="1">
                  <c:v>Innovativi </c:v>
                </c:pt>
                <c:pt idx="2">
                  <c:v>Vaccini</c:v>
                </c:pt>
                <c:pt idx="3">
                  <c:v>Farmaci osp; Distr.diretta; DPC</c:v>
                </c:pt>
              </c:strCache>
            </c:strRef>
          </c:cat>
          <c:val>
            <c:numRef>
              <c:f>Farmaci!$F$23:$F$26</c:f>
              <c:numCache>
                <c:formatCode>_-* #,##0.0_-;\-* #,##0.0_-;_-* "-"??_-;_-@_-</c:formatCode>
                <c:ptCount val="4"/>
                <c:pt idx="0">
                  <c:v>21120310</c:v>
                </c:pt>
                <c:pt idx="1">
                  <c:v>2086842</c:v>
                </c:pt>
                <c:pt idx="2">
                  <c:v>5176702</c:v>
                </c:pt>
                <c:pt idx="3">
                  <c:v>95602401</c:v>
                </c:pt>
              </c:numCache>
            </c:numRef>
          </c:val>
        </c:ser>
        <c:ser>
          <c:idx val="2"/>
          <c:order val="2"/>
          <c:tx>
            <c:strRef>
              <c:f>Farmaci!$G$22</c:f>
              <c:strCache>
                <c:ptCount val="1"/>
                <c:pt idx="0">
                  <c:v>Consuntivo 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Farmaci!$D$23:$D$26</c:f>
              <c:strCache>
                <c:ptCount val="4"/>
                <c:pt idx="0">
                  <c:v>HCV</c:v>
                </c:pt>
                <c:pt idx="1">
                  <c:v>Innovativi </c:v>
                </c:pt>
                <c:pt idx="2">
                  <c:v>Vaccini</c:v>
                </c:pt>
                <c:pt idx="3">
                  <c:v>Farmaci osp; Distr.diretta; DPC</c:v>
                </c:pt>
              </c:strCache>
            </c:strRef>
          </c:cat>
          <c:val>
            <c:numRef>
              <c:f>Farmaci!$G$23:$G$26</c:f>
              <c:numCache>
                <c:formatCode>_-* #,##0.0_-;\-* #,##0.0_-;_-* "-"??_-;_-@_-</c:formatCode>
                <c:ptCount val="4"/>
                <c:pt idx="0">
                  <c:v>10386000</c:v>
                </c:pt>
                <c:pt idx="1">
                  <c:v>3009000</c:v>
                </c:pt>
                <c:pt idx="2">
                  <c:v>8265000</c:v>
                </c:pt>
                <c:pt idx="3">
                  <c:v>93235380</c:v>
                </c:pt>
              </c:numCache>
            </c:numRef>
          </c:val>
        </c:ser>
        <c:dLbls>
          <c:dLblPos val="outEnd"/>
          <c:showLegendKey val="0"/>
          <c:showVal val="1"/>
          <c:showCatName val="0"/>
          <c:showSerName val="0"/>
          <c:showPercent val="0"/>
          <c:showBubbleSize val="0"/>
        </c:dLbls>
        <c:gapWidth val="219"/>
        <c:overlap val="-27"/>
        <c:axId val="560700640"/>
        <c:axId val="560690056"/>
      </c:barChart>
      <c:catAx>
        <c:axId val="56070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0056"/>
        <c:crosses val="autoZero"/>
        <c:auto val="1"/>
        <c:lblAlgn val="ctr"/>
        <c:lblOffset val="100"/>
        <c:noMultiLvlLbl val="0"/>
      </c:catAx>
      <c:valAx>
        <c:axId val="560690056"/>
        <c:scaling>
          <c:orientation val="minMax"/>
          <c:max val="100000000"/>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70064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Farmaci!$D$35</c:f>
              <c:strCache>
                <c:ptCount val="1"/>
                <c:pt idx="0">
                  <c:v>Farmaceutica convenzionata esterna</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Farmaci!$E$34:$G$34</c:f>
              <c:strCache>
                <c:ptCount val="3"/>
                <c:pt idx="0">
                  <c:v>Consuntivo 2015</c:v>
                </c:pt>
                <c:pt idx="1">
                  <c:v>Consuntivo 2016</c:v>
                </c:pt>
                <c:pt idx="2">
                  <c:v>Consuntivo 2017</c:v>
                </c:pt>
              </c:strCache>
            </c:strRef>
          </c:cat>
          <c:val>
            <c:numRef>
              <c:f>Farmaci!$E$35:$G$35</c:f>
              <c:numCache>
                <c:formatCode>_-* #,##0.0_-;\-* #,##0.0_-;_-* "-"??_-;_-@_-</c:formatCode>
                <c:ptCount val="3"/>
                <c:pt idx="0">
                  <c:v>79590253</c:v>
                </c:pt>
                <c:pt idx="1">
                  <c:v>76798900</c:v>
                </c:pt>
                <c:pt idx="2">
                  <c:v>76503363</c:v>
                </c:pt>
              </c:numCache>
            </c:numRef>
          </c:val>
        </c:ser>
        <c:dLbls>
          <c:dLblPos val="outEnd"/>
          <c:showLegendKey val="0"/>
          <c:showVal val="1"/>
          <c:showCatName val="0"/>
          <c:showSerName val="0"/>
          <c:showPercent val="0"/>
          <c:showBubbleSize val="0"/>
        </c:dLbls>
        <c:gapWidth val="219"/>
        <c:overlap val="-27"/>
        <c:axId val="560691232"/>
        <c:axId val="560691624"/>
      </c:barChart>
      <c:catAx>
        <c:axId val="5606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1624"/>
        <c:crosses val="autoZero"/>
        <c:auto val="1"/>
        <c:lblAlgn val="ctr"/>
        <c:lblOffset val="100"/>
        <c:noMultiLvlLbl val="0"/>
      </c:catAx>
      <c:valAx>
        <c:axId val="560691624"/>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123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320" b="0" i="0" u="none" strike="noStrike" kern="1200" spc="0" baseline="0">
                <a:solidFill>
                  <a:schemeClr val="tx1">
                    <a:lumMod val="65000"/>
                    <a:lumOff val="35000"/>
                  </a:schemeClr>
                </a:solidFill>
                <a:latin typeface="+mn-lt"/>
                <a:ea typeface="+mn-ea"/>
                <a:cs typeface="+mn-cs"/>
              </a:defRPr>
            </a:pPr>
            <a:r>
              <a:rPr lang="it-IT"/>
              <a:t>Screening Mammografico </a:t>
            </a:r>
          </a:p>
        </c:rich>
      </c:tx>
      <c:overlay val="0"/>
      <c:spPr>
        <a:noFill/>
        <a:ln>
          <a:noFill/>
        </a:ln>
        <a:effectLst/>
      </c:spPr>
      <c:txPr>
        <a:bodyPr rot="0" spcFirstLastPara="1" vertOverflow="ellipsis" vert="horz" wrap="square" anchor="ctr" anchorCtr="1"/>
        <a:lstStyle/>
        <a:p>
          <a:pPr>
            <a:defRPr lang="en-US" sz="132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Screening!$C$35</c:f>
              <c:strCache>
                <c:ptCount val="1"/>
                <c:pt idx="0">
                  <c:v>MO 2016</c:v>
                </c:pt>
              </c:strCache>
            </c:strRef>
          </c:tx>
          <c:spPr>
            <a:solidFill>
              <a:schemeClr val="accent1"/>
            </a:solidFill>
            <a:ln>
              <a:noFill/>
            </a:ln>
            <a:effectLst/>
          </c:spPr>
          <c:invertIfNegative val="0"/>
          <c:dLbls>
            <c:dLbl>
              <c:idx val="7"/>
              <c:layout>
                <c:manualLayout>
                  <c:x val="-2.35155790711347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Screening!$D$33:$K$34</c:f>
              <c:multiLvlStrCache>
                <c:ptCount val="8"/>
                <c:lvl>
                  <c:pt idx="0">
                    <c:v>45-49</c:v>
                  </c:pt>
                  <c:pt idx="1">
                    <c:v>50-69</c:v>
                  </c:pt>
                  <c:pt idx="2">
                    <c:v>70-74</c:v>
                  </c:pt>
                  <c:pt idx="3">
                    <c:v>45-49</c:v>
                  </c:pt>
                  <c:pt idx="4">
                    <c:v>50-69</c:v>
                  </c:pt>
                  <c:pt idx="5">
                    <c:v>70-74</c:v>
                  </c:pt>
                </c:lvl>
                <c:lvl>
                  <c:pt idx="0">
                    <c:v>Estensione</c:v>
                  </c:pt>
                  <c:pt idx="3">
                    <c:v>Adesione</c:v>
                  </c:pt>
                  <c:pt idx="6">
                    <c:v>Attesa 2° livello (entro 28 gg)</c:v>
                  </c:pt>
                  <c:pt idx="7">
                    <c:v>Refertazione negativi (entro 21 gg)</c:v>
                  </c:pt>
                </c:lvl>
              </c:multiLvlStrCache>
            </c:multiLvlStrRef>
          </c:cat>
          <c:val>
            <c:numRef>
              <c:f>Screening!$D$35:$K$35</c:f>
              <c:numCache>
                <c:formatCode>0%</c:formatCode>
                <c:ptCount val="8"/>
                <c:pt idx="0">
                  <c:v>0.78700000000000003</c:v>
                </c:pt>
                <c:pt idx="1">
                  <c:v>0.89900000000000002</c:v>
                </c:pt>
                <c:pt idx="2">
                  <c:v>0.88700000000000001</c:v>
                </c:pt>
                <c:pt idx="3">
                  <c:v>0.746</c:v>
                </c:pt>
                <c:pt idx="4">
                  <c:v>0.753</c:v>
                </c:pt>
                <c:pt idx="5">
                  <c:v>0.77</c:v>
                </c:pt>
                <c:pt idx="6">
                  <c:v>0.31</c:v>
                </c:pt>
                <c:pt idx="7">
                  <c:v>0.37</c:v>
                </c:pt>
              </c:numCache>
            </c:numRef>
          </c:val>
        </c:ser>
        <c:ser>
          <c:idx val="1"/>
          <c:order val="1"/>
          <c:tx>
            <c:strRef>
              <c:f>Screening!$C$36</c:f>
              <c:strCache>
                <c:ptCount val="1"/>
                <c:pt idx="0">
                  <c:v>MO 2017</c:v>
                </c:pt>
              </c:strCache>
            </c:strRef>
          </c:tx>
          <c:spPr>
            <a:solidFill>
              <a:schemeClr val="accent2"/>
            </a:solidFill>
            <a:ln>
              <a:noFill/>
            </a:ln>
            <a:effectLst/>
          </c:spPr>
          <c:invertIfNegative val="0"/>
          <c:dLbls>
            <c:dLbl>
              <c:idx val="1"/>
              <c:layout>
                <c:manualLayout>
                  <c:x val="2.3515579071134628E-2"/>
                  <c:y val="-1.99084212621939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273368606701938E-2"/>
                  <c:y val="7.963368504877544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757789535567314E-2"/>
                  <c:y val="-7.167031654389810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555947481873481E-2"/>
                  <c:y val="-5.972526378658174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31373701744058E-2"/>
                  <c:y val="-2.38901055146326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Screening!$D$33:$K$34</c:f>
              <c:multiLvlStrCache>
                <c:ptCount val="8"/>
                <c:lvl>
                  <c:pt idx="0">
                    <c:v>45-49</c:v>
                  </c:pt>
                  <c:pt idx="1">
                    <c:v>50-69</c:v>
                  </c:pt>
                  <c:pt idx="2">
                    <c:v>70-74</c:v>
                  </c:pt>
                  <c:pt idx="3">
                    <c:v>45-49</c:v>
                  </c:pt>
                  <c:pt idx="4">
                    <c:v>50-69</c:v>
                  </c:pt>
                  <c:pt idx="5">
                    <c:v>70-74</c:v>
                  </c:pt>
                </c:lvl>
                <c:lvl>
                  <c:pt idx="0">
                    <c:v>Estensione</c:v>
                  </c:pt>
                  <c:pt idx="3">
                    <c:v>Adesione</c:v>
                  </c:pt>
                  <c:pt idx="6">
                    <c:v>Attesa 2° livello (entro 28 gg)</c:v>
                  </c:pt>
                  <c:pt idx="7">
                    <c:v>Refertazione negativi (entro 21 gg)</c:v>
                  </c:pt>
                </c:lvl>
              </c:multiLvlStrCache>
            </c:multiLvlStrRef>
          </c:cat>
          <c:val>
            <c:numRef>
              <c:f>Screening!$D$36:$K$36</c:f>
              <c:numCache>
                <c:formatCode>0%</c:formatCode>
                <c:ptCount val="8"/>
                <c:pt idx="0">
                  <c:v>0.91200000000000003</c:v>
                </c:pt>
                <c:pt idx="1">
                  <c:v>0.94599999999999995</c:v>
                </c:pt>
                <c:pt idx="2">
                  <c:v>0.93200000000000005</c:v>
                </c:pt>
                <c:pt idx="3">
                  <c:v>0.72599999999999998</c:v>
                </c:pt>
                <c:pt idx="4">
                  <c:v>0.755</c:v>
                </c:pt>
                <c:pt idx="5">
                  <c:v>0.75800000000000001</c:v>
                </c:pt>
                <c:pt idx="6">
                  <c:v>0.16</c:v>
                </c:pt>
                <c:pt idx="7">
                  <c:v>0.3</c:v>
                </c:pt>
              </c:numCache>
            </c:numRef>
          </c:val>
        </c:ser>
        <c:dLbls>
          <c:showLegendKey val="0"/>
          <c:showVal val="1"/>
          <c:showCatName val="0"/>
          <c:showSerName val="0"/>
          <c:showPercent val="0"/>
          <c:showBubbleSize val="0"/>
        </c:dLbls>
        <c:gapWidth val="219"/>
        <c:overlap val="-27"/>
        <c:axId val="560684960"/>
        <c:axId val="560683000"/>
      </c:barChart>
      <c:catAx>
        <c:axId val="56068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crossAx val="560683000"/>
        <c:crosses val="autoZero"/>
        <c:auto val="1"/>
        <c:lblAlgn val="ctr"/>
        <c:lblOffset val="100"/>
        <c:noMultiLvlLbl val="0"/>
      </c:catAx>
      <c:valAx>
        <c:axId val="560683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crossAx val="56068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100"/>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u="none" strike="noStrike" baseline="0">
                <a:effectLst/>
              </a:rPr>
              <a:t>Vaccinazioni effettuate alla popolazione 0 -18 anni - dosi somministrate</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Vaccini!$D$4</c:f>
              <c:strCache>
                <c:ptCount val="1"/>
                <c:pt idx="0">
                  <c:v>Anno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Vaccini!$C$5:$C$12</c:f>
              <c:strCache>
                <c:ptCount val="8"/>
                <c:pt idx="0">
                  <c:v>Carpi</c:v>
                </c:pt>
                <c:pt idx="1">
                  <c:v>Castelfranco Emilia</c:v>
                </c:pt>
                <c:pt idx="2">
                  <c:v>Mirandola</c:v>
                </c:pt>
                <c:pt idx="3">
                  <c:v>Modena</c:v>
                </c:pt>
                <c:pt idx="4">
                  <c:v>Pavullo</c:v>
                </c:pt>
                <c:pt idx="5">
                  <c:v>Sassuolo</c:v>
                </c:pt>
                <c:pt idx="6">
                  <c:v>Vignola</c:v>
                </c:pt>
                <c:pt idx="7">
                  <c:v>Azienda USL Modena</c:v>
                </c:pt>
              </c:strCache>
            </c:strRef>
          </c:cat>
          <c:val>
            <c:numRef>
              <c:f>Vaccini!$D$5:$D$12</c:f>
              <c:numCache>
                <c:formatCode>#,##0</c:formatCode>
                <c:ptCount val="8"/>
                <c:pt idx="0">
                  <c:v>14812</c:v>
                </c:pt>
                <c:pt idx="1">
                  <c:v>11844</c:v>
                </c:pt>
                <c:pt idx="2">
                  <c:v>12484</c:v>
                </c:pt>
                <c:pt idx="3">
                  <c:v>30457</c:v>
                </c:pt>
                <c:pt idx="4">
                  <c:v>5818</c:v>
                </c:pt>
                <c:pt idx="5">
                  <c:v>16756</c:v>
                </c:pt>
                <c:pt idx="6">
                  <c:v>14154</c:v>
                </c:pt>
                <c:pt idx="7">
                  <c:v>106325</c:v>
                </c:pt>
              </c:numCache>
            </c:numRef>
          </c:val>
        </c:ser>
        <c:ser>
          <c:idx val="1"/>
          <c:order val="1"/>
          <c:tx>
            <c:strRef>
              <c:f>Vaccini!$E$4</c:f>
              <c:strCache>
                <c:ptCount val="1"/>
                <c:pt idx="0">
                  <c:v>Anno 2017</c:v>
                </c:pt>
              </c:strCache>
            </c:strRef>
          </c:tx>
          <c:spPr>
            <a:solidFill>
              <a:schemeClr val="accent2"/>
            </a:solidFill>
            <a:ln>
              <a:noFill/>
            </a:ln>
            <a:effectLst/>
          </c:spPr>
          <c:invertIfNegative val="0"/>
          <c:dLbls>
            <c:dLbl>
              <c:idx val="0"/>
              <c:layout>
                <c:manualLayout>
                  <c:x val="-4.71976401179941E-3"/>
                  <c:y val="-2.914389799635701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1799410029498525E-2"/>
                  <c:y val="-4.007285974499089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4395280235987766E-3"/>
                  <c:y val="-4.007285974499089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6528007304065082E-17"/>
                  <c:y val="-3.27868852459016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359882005899705E-3"/>
                  <c:y val="-5.10018214936247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7305601460813016E-16"/>
                  <c:y val="-3.642987249544626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Vaccini!$C$5:$C$12</c:f>
              <c:strCache>
                <c:ptCount val="8"/>
                <c:pt idx="0">
                  <c:v>Carpi</c:v>
                </c:pt>
                <c:pt idx="1">
                  <c:v>Castelfranco Emilia</c:v>
                </c:pt>
                <c:pt idx="2">
                  <c:v>Mirandola</c:v>
                </c:pt>
                <c:pt idx="3">
                  <c:v>Modena</c:v>
                </c:pt>
                <c:pt idx="4">
                  <c:v>Pavullo</c:v>
                </c:pt>
                <c:pt idx="5">
                  <c:v>Sassuolo</c:v>
                </c:pt>
                <c:pt idx="6">
                  <c:v>Vignola</c:v>
                </c:pt>
                <c:pt idx="7">
                  <c:v>Azienda USL Modena</c:v>
                </c:pt>
              </c:strCache>
            </c:strRef>
          </c:cat>
          <c:val>
            <c:numRef>
              <c:f>Vaccini!$E$5:$E$12</c:f>
              <c:numCache>
                <c:formatCode>#,##0</c:formatCode>
                <c:ptCount val="8"/>
                <c:pt idx="0">
                  <c:v>18080</c:v>
                </c:pt>
                <c:pt idx="1">
                  <c:v>14699</c:v>
                </c:pt>
                <c:pt idx="2">
                  <c:v>14953</c:v>
                </c:pt>
                <c:pt idx="3">
                  <c:v>56643</c:v>
                </c:pt>
                <c:pt idx="4">
                  <c:v>7967</c:v>
                </c:pt>
                <c:pt idx="5">
                  <c:v>20711</c:v>
                </c:pt>
                <c:pt idx="6">
                  <c:v>16472</c:v>
                </c:pt>
                <c:pt idx="7">
                  <c:v>149525</c:v>
                </c:pt>
              </c:numCache>
            </c:numRef>
          </c:val>
        </c:ser>
        <c:dLbls>
          <c:dLblPos val="outEnd"/>
          <c:showLegendKey val="0"/>
          <c:showVal val="1"/>
          <c:showCatName val="0"/>
          <c:showSerName val="0"/>
          <c:showPercent val="0"/>
          <c:showBubbleSize val="0"/>
        </c:dLbls>
        <c:gapWidth val="219"/>
        <c:overlap val="-27"/>
        <c:axId val="502678960"/>
        <c:axId val="502675432"/>
      </c:barChart>
      <c:catAx>
        <c:axId val="50267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675432"/>
        <c:crosses val="autoZero"/>
        <c:auto val="1"/>
        <c:lblAlgn val="ctr"/>
        <c:lblOffset val="100"/>
        <c:noMultiLvlLbl val="0"/>
      </c:catAx>
      <c:valAx>
        <c:axId val="502675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67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Copertura Vaccinale Pop &gt;=65 anni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Vaccini!$D$18</c:f>
              <c:strCache>
                <c:ptCount val="1"/>
                <c:pt idx="0">
                  <c:v>Copertura Vaccinale</c:v>
                </c:pt>
              </c:strCache>
            </c:strRef>
          </c:tx>
          <c:spPr>
            <a:solidFill>
              <a:schemeClr val="accent1"/>
            </a:solidFill>
            <a:ln>
              <a:noFill/>
            </a:ln>
            <a:effectLst/>
          </c:spPr>
          <c:invertIfNegative val="0"/>
          <c:dPt>
            <c:idx val="3"/>
            <c:invertIfNegative val="0"/>
            <c:bubble3D val="0"/>
            <c:spPr>
              <a:solidFill>
                <a:schemeClr val="accent5"/>
              </a:solidFill>
              <a:ln>
                <a:noFill/>
              </a:ln>
              <a:effectLst/>
            </c:spPr>
          </c:dPt>
          <c:dPt>
            <c:idx val="8"/>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Vaccini!$C$19:$C$27</c:f>
              <c:strCache>
                <c:ptCount val="9"/>
                <c:pt idx="0">
                  <c:v>Piacenza </c:v>
                </c:pt>
                <c:pt idx="1">
                  <c:v>Parma</c:v>
                </c:pt>
                <c:pt idx="2">
                  <c:v>Reggio Emilia</c:v>
                </c:pt>
                <c:pt idx="3">
                  <c:v>Modena</c:v>
                </c:pt>
                <c:pt idx="4">
                  <c:v>Bologna</c:v>
                </c:pt>
                <c:pt idx="5">
                  <c:v>Imola</c:v>
                </c:pt>
                <c:pt idx="6">
                  <c:v>Ferrara</c:v>
                </c:pt>
                <c:pt idx="7">
                  <c:v>Romagna</c:v>
                </c:pt>
                <c:pt idx="8">
                  <c:v>RER</c:v>
                </c:pt>
              </c:strCache>
            </c:strRef>
          </c:cat>
          <c:val>
            <c:numRef>
              <c:f>Vaccini!$D$19:$D$27</c:f>
              <c:numCache>
                <c:formatCode>0.0%</c:formatCode>
                <c:ptCount val="9"/>
                <c:pt idx="0">
                  <c:v>0.55300000000000005</c:v>
                </c:pt>
                <c:pt idx="1">
                  <c:v>0.44700000000000001</c:v>
                </c:pt>
                <c:pt idx="2">
                  <c:v>0.56499999999999995</c:v>
                </c:pt>
                <c:pt idx="3">
                  <c:v>0.55400000000000005</c:v>
                </c:pt>
                <c:pt idx="4">
                  <c:v>0.54600000000000004</c:v>
                </c:pt>
                <c:pt idx="5">
                  <c:v>0.56100000000000005</c:v>
                </c:pt>
                <c:pt idx="6">
                  <c:v>0.56699999999999995</c:v>
                </c:pt>
                <c:pt idx="7">
                  <c:v>0.50800000000000001</c:v>
                </c:pt>
                <c:pt idx="8">
                  <c:v>0.53200000000000003</c:v>
                </c:pt>
              </c:numCache>
            </c:numRef>
          </c:val>
        </c:ser>
        <c:dLbls>
          <c:dLblPos val="outEnd"/>
          <c:showLegendKey val="0"/>
          <c:showVal val="1"/>
          <c:showCatName val="0"/>
          <c:showSerName val="0"/>
          <c:showPercent val="0"/>
          <c:showBubbleSize val="0"/>
        </c:dLbls>
        <c:gapWidth val="219"/>
        <c:overlap val="-27"/>
        <c:axId val="560684176"/>
        <c:axId val="560683784"/>
      </c:barChart>
      <c:catAx>
        <c:axId val="56068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83784"/>
        <c:crosses val="autoZero"/>
        <c:auto val="1"/>
        <c:lblAlgn val="ctr"/>
        <c:lblOffset val="100"/>
        <c:noMultiLvlLbl val="0"/>
      </c:catAx>
      <c:valAx>
        <c:axId val="560683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8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Copertura vaccinale operatori sanitari - ambito territoriale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Vaccini!$D$31</c:f>
              <c:strCache>
                <c:ptCount val="1"/>
                <c:pt idx="0">
                  <c:v>Copertura vaccinale operatori sanitari - ambito territoriale</c:v>
                </c:pt>
              </c:strCache>
            </c:strRef>
          </c:tx>
          <c:spPr>
            <a:solidFill>
              <a:schemeClr val="accent1"/>
            </a:solidFill>
            <a:ln>
              <a:noFill/>
            </a:ln>
            <a:effectLst/>
          </c:spPr>
          <c:invertIfNegative val="0"/>
          <c:dPt>
            <c:idx val="3"/>
            <c:invertIfNegative val="0"/>
            <c:bubble3D val="0"/>
            <c:spPr>
              <a:solidFill>
                <a:schemeClr val="accent5"/>
              </a:solidFill>
              <a:ln>
                <a:noFill/>
              </a:ln>
              <a:effectLst/>
            </c:spPr>
          </c:dPt>
          <c:dPt>
            <c:idx val="8"/>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Vaccini!$C$32:$C$40</c:f>
              <c:strCache>
                <c:ptCount val="9"/>
                <c:pt idx="0">
                  <c:v>Piacenza </c:v>
                </c:pt>
                <c:pt idx="1">
                  <c:v>Parma</c:v>
                </c:pt>
                <c:pt idx="2">
                  <c:v>Reggio Emilia</c:v>
                </c:pt>
                <c:pt idx="3">
                  <c:v>Modena</c:v>
                </c:pt>
                <c:pt idx="4">
                  <c:v>Bologna</c:v>
                </c:pt>
                <c:pt idx="5">
                  <c:v>Imola</c:v>
                </c:pt>
                <c:pt idx="6">
                  <c:v>Ferrara</c:v>
                </c:pt>
                <c:pt idx="7">
                  <c:v>Romagna</c:v>
                </c:pt>
                <c:pt idx="8">
                  <c:v>RER</c:v>
                </c:pt>
              </c:strCache>
            </c:strRef>
          </c:cat>
          <c:val>
            <c:numRef>
              <c:f>Vaccini!$D$32:$D$40</c:f>
              <c:numCache>
                <c:formatCode>0%</c:formatCode>
                <c:ptCount val="9"/>
                <c:pt idx="0">
                  <c:v>0.23899999999999999</c:v>
                </c:pt>
                <c:pt idx="1">
                  <c:v>0.221</c:v>
                </c:pt>
                <c:pt idx="2">
                  <c:v>0.29599999999999999</c:v>
                </c:pt>
                <c:pt idx="3">
                  <c:v>0.374</c:v>
                </c:pt>
                <c:pt idx="4">
                  <c:v>0.34200000000000003</c:v>
                </c:pt>
                <c:pt idx="5">
                  <c:v>0.3</c:v>
                </c:pt>
                <c:pt idx="6">
                  <c:v>0.28000000000000003</c:v>
                </c:pt>
                <c:pt idx="7">
                  <c:v>0.25600000000000001</c:v>
                </c:pt>
                <c:pt idx="8">
                  <c:v>0.29599999999999999</c:v>
                </c:pt>
              </c:numCache>
            </c:numRef>
          </c:val>
        </c:ser>
        <c:dLbls>
          <c:dLblPos val="outEnd"/>
          <c:showLegendKey val="0"/>
          <c:showVal val="1"/>
          <c:showCatName val="0"/>
          <c:showSerName val="0"/>
          <c:showPercent val="0"/>
          <c:showBubbleSize val="0"/>
        </c:dLbls>
        <c:gapWidth val="219"/>
        <c:overlap val="-27"/>
        <c:axId val="560701032"/>
        <c:axId val="560696720"/>
      </c:barChart>
      <c:catAx>
        <c:axId val="56070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6720"/>
        <c:crosses val="autoZero"/>
        <c:auto val="1"/>
        <c:lblAlgn val="ctr"/>
        <c:lblOffset val="100"/>
        <c:noMultiLvlLbl val="0"/>
      </c:catAx>
      <c:valAx>
        <c:axId val="560696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701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Vaccini!$D$46</c:f>
              <c:strCache>
                <c:ptCount val="1"/>
                <c:pt idx="0">
                  <c:v>Copertura vaccinale operatori sanitari - Aziende Sanitarie</c:v>
                </c:pt>
              </c:strCache>
            </c:strRef>
          </c:tx>
          <c:spPr>
            <a:solidFill>
              <a:schemeClr val="accent1"/>
            </a:solidFill>
            <a:ln>
              <a:noFill/>
            </a:ln>
            <a:effectLst/>
          </c:spPr>
          <c:invertIfNegative val="0"/>
          <c:dPt>
            <c:idx val="3"/>
            <c:invertIfNegative val="0"/>
            <c:bubble3D val="0"/>
            <c:spPr>
              <a:solidFill>
                <a:schemeClr val="accent5"/>
              </a:solidFill>
              <a:ln>
                <a:noFill/>
              </a:ln>
              <a:effectLst/>
            </c:spPr>
          </c:dPt>
          <c:dPt>
            <c:idx val="13"/>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Vaccini!$C$47:$C$60</c:f>
              <c:strCache>
                <c:ptCount val="14"/>
                <c:pt idx="0">
                  <c:v>AUSL Piacenza </c:v>
                </c:pt>
                <c:pt idx="1">
                  <c:v>AUSL Parma</c:v>
                </c:pt>
                <c:pt idx="2">
                  <c:v>AUSL Reggio Emilia (con ex AOSP)</c:v>
                </c:pt>
                <c:pt idx="3">
                  <c:v>AUSL Modena</c:v>
                </c:pt>
                <c:pt idx="4">
                  <c:v>AUSL Bologna</c:v>
                </c:pt>
                <c:pt idx="5">
                  <c:v>AUSL Imola</c:v>
                </c:pt>
                <c:pt idx="6">
                  <c:v>AUSL Ferrara</c:v>
                </c:pt>
                <c:pt idx="7">
                  <c:v>AUSL Romagna</c:v>
                </c:pt>
                <c:pt idx="8">
                  <c:v>AOSP Parma</c:v>
                </c:pt>
                <c:pt idx="9">
                  <c:v>AOSP Modena</c:v>
                </c:pt>
                <c:pt idx="10">
                  <c:v>AOSP Bologna</c:v>
                </c:pt>
                <c:pt idx="11">
                  <c:v>AOSP Ferrara</c:v>
                </c:pt>
                <c:pt idx="12">
                  <c:v>IOR Bologna</c:v>
                </c:pt>
                <c:pt idx="13">
                  <c:v>RER</c:v>
                </c:pt>
              </c:strCache>
            </c:strRef>
          </c:cat>
          <c:val>
            <c:numRef>
              <c:f>Vaccini!$D$47:$D$60</c:f>
              <c:numCache>
                <c:formatCode>0.0%</c:formatCode>
                <c:ptCount val="14"/>
                <c:pt idx="0">
                  <c:v>0.23899999999999999</c:v>
                </c:pt>
                <c:pt idx="1">
                  <c:v>0.221</c:v>
                </c:pt>
                <c:pt idx="2">
                  <c:v>0.29599999999999999</c:v>
                </c:pt>
                <c:pt idx="3">
                  <c:v>0.374</c:v>
                </c:pt>
                <c:pt idx="4">
                  <c:v>0.34200000000000003</c:v>
                </c:pt>
                <c:pt idx="5">
                  <c:v>0.3</c:v>
                </c:pt>
                <c:pt idx="6">
                  <c:v>0.28000000000000003</c:v>
                </c:pt>
                <c:pt idx="7">
                  <c:v>0.25600000000000001</c:v>
                </c:pt>
                <c:pt idx="8">
                  <c:v>0.14499999999999999</c:v>
                </c:pt>
                <c:pt idx="9">
                  <c:v>0.36399999999999999</c:v>
                </c:pt>
                <c:pt idx="10">
                  <c:v>0.40500000000000003</c:v>
                </c:pt>
                <c:pt idx="11">
                  <c:v>0.183</c:v>
                </c:pt>
                <c:pt idx="12">
                  <c:v>0.2</c:v>
                </c:pt>
                <c:pt idx="13">
                  <c:v>0.29599999999999999</c:v>
                </c:pt>
              </c:numCache>
            </c:numRef>
          </c:val>
        </c:ser>
        <c:dLbls>
          <c:dLblPos val="outEnd"/>
          <c:showLegendKey val="0"/>
          <c:showVal val="1"/>
          <c:showCatName val="0"/>
          <c:showSerName val="0"/>
          <c:showPercent val="0"/>
          <c:showBubbleSize val="0"/>
        </c:dLbls>
        <c:gapWidth val="219"/>
        <c:overlap val="-27"/>
        <c:axId val="560693976"/>
        <c:axId val="560689664"/>
      </c:barChart>
      <c:catAx>
        <c:axId val="560693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89664"/>
        <c:crosses val="autoZero"/>
        <c:auto val="1"/>
        <c:lblAlgn val="ctr"/>
        <c:lblOffset val="100"/>
        <c:noMultiLvlLbl val="0"/>
      </c:catAx>
      <c:valAx>
        <c:axId val="560689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0693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Attività Ambulatori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Foglio3!$D$14</c:f>
              <c:strCache>
                <c:ptCount val="1"/>
                <c:pt idx="0">
                  <c:v>Assistiti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Foglio3!$C$15:$C$21</c:f>
              <c:strCache>
                <c:ptCount val="7"/>
                <c:pt idx="0">
                  <c:v>Carpi</c:v>
                </c:pt>
                <c:pt idx="1">
                  <c:v>Mirandola</c:v>
                </c:pt>
                <c:pt idx="2">
                  <c:v>Modena</c:v>
                </c:pt>
                <c:pt idx="3">
                  <c:v>Sassuolo</c:v>
                </c:pt>
                <c:pt idx="4">
                  <c:v>Pavullo</c:v>
                </c:pt>
                <c:pt idx="5">
                  <c:v>Vignola</c:v>
                </c:pt>
                <c:pt idx="6">
                  <c:v>CFE</c:v>
                </c:pt>
              </c:strCache>
            </c:strRef>
          </c:cat>
          <c:val>
            <c:numRef>
              <c:f>Foglio3!$D$15:$D$21</c:f>
              <c:numCache>
                <c:formatCode>_-* #,##0_-;\-* #,##0_-;_-* "-"??_-;_-@_-</c:formatCode>
                <c:ptCount val="7"/>
                <c:pt idx="0">
                  <c:v>925</c:v>
                </c:pt>
                <c:pt idx="1">
                  <c:v>565</c:v>
                </c:pt>
                <c:pt idx="2">
                  <c:v>689</c:v>
                </c:pt>
                <c:pt idx="3">
                  <c:v>429</c:v>
                </c:pt>
                <c:pt idx="4">
                  <c:v>471</c:v>
                </c:pt>
                <c:pt idx="5">
                  <c:v>708</c:v>
                </c:pt>
                <c:pt idx="6">
                  <c:v>324</c:v>
                </c:pt>
              </c:numCache>
            </c:numRef>
          </c:val>
        </c:ser>
        <c:ser>
          <c:idx val="1"/>
          <c:order val="1"/>
          <c:tx>
            <c:strRef>
              <c:f>Foglio3!$E$14</c:f>
              <c:strCache>
                <c:ptCount val="1"/>
                <c:pt idx="0">
                  <c:v>Accessi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Foglio3!$C$15:$C$21</c:f>
              <c:strCache>
                <c:ptCount val="7"/>
                <c:pt idx="0">
                  <c:v>Carpi</c:v>
                </c:pt>
                <c:pt idx="1">
                  <c:v>Mirandola</c:v>
                </c:pt>
                <c:pt idx="2">
                  <c:v>Modena</c:v>
                </c:pt>
                <c:pt idx="3">
                  <c:v>Sassuolo</c:v>
                </c:pt>
                <c:pt idx="4">
                  <c:v>Pavullo</c:v>
                </c:pt>
                <c:pt idx="5">
                  <c:v>Vignola</c:v>
                </c:pt>
                <c:pt idx="6">
                  <c:v>CFE</c:v>
                </c:pt>
              </c:strCache>
            </c:strRef>
          </c:cat>
          <c:val>
            <c:numRef>
              <c:f>Foglio3!$E$15:$E$21</c:f>
              <c:numCache>
                <c:formatCode>_-* #,##0_-;\-* #,##0_-;_-* "-"??_-;_-@_-</c:formatCode>
                <c:ptCount val="7"/>
                <c:pt idx="0">
                  <c:v>8636</c:v>
                </c:pt>
                <c:pt idx="1">
                  <c:v>6139</c:v>
                </c:pt>
                <c:pt idx="2">
                  <c:v>13990</c:v>
                </c:pt>
                <c:pt idx="3">
                  <c:v>5642</c:v>
                </c:pt>
                <c:pt idx="4">
                  <c:v>4980</c:v>
                </c:pt>
                <c:pt idx="5">
                  <c:v>8364</c:v>
                </c:pt>
                <c:pt idx="6">
                  <c:v>4676</c:v>
                </c:pt>
              </c:numCache>
            </c:numRef>
          </c:val>
        </c:ser>
        <c:ser>
          <c:idx val="2"/>
          <c:order val="2"/>
          <c:tx>
            <c:strRef>
              <c:f>Foglio3!$F$14</c:f>
              <c:strCache>
                <c:ptCount val="1"/>
                <c:pt idx="0">
                  <c:v>Interventi</c:v>
                </c:pt>
              </c:strCache>
            </c:strRef>
          </c:tx>
          <c:spPr>
            <a:solidFill>
              <a:schemeClr val="accent3"/>
            </a:solidFill>
            <a:ln>
              <a:noFill/>
            </a:ln>
            <a:effectLst/>
          </c:spPr>
          <c:invertIfNegative val="0"/>
          <c:dLbls>
            <c:dLbl>
              <c:idx val="0"/>
              <c:layout>
                <c:manualLayout>
                  <c:x val="3.2030749519538756E-2"/>
                  <c:y val="-2.08289939595917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353833013025448E-3"/>
                  <c:y val="-4.582378671110185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4166132820841341E-2"/>
                  <c:y val="-2.49947927515101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9218449711723255E-2"/>
                  <c:y val="-2.916059154342852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8.5415332052103353E-3"/>
                  <c:y val="-9.581337221412206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7083066410420671E-2"/>
                  <c:y val="-2.91605915434284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2707666026051676E-3"/>
                  <c:y val="-7.081857946261195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Foglio3!$C$15:$C$21</c:f>
              <c:strCache>
                <c:ptCount val="7"/>
                <c:pt idx="0">
                  <c:v>Carpi</c:v>
                </c:pt>
                <c:pt idx="1">
                  <c:v>Mirandola</c:v>
                </c:pt>
                <c:pt idx="2">
                  <c:v>Modena</c:v>
                </c:pt>
                <c:pt idx="3">
                  <c:v>Sassuolo</c:v>
                </c:pt>
                <c:pt idx="4">
                  <c:v>Pavullo</c:v>
                </c:pt>
                <c:pt idx="5">
                  <c:v>Vignola</c:v>
                </c:pt>
                <c:pt idx="6">
                  <c:v>CFE</c:v>
                </c:pt>
              </c:strCache>
            </c:strRef>
          </c:cat>
          <c:val>
            <c:numRef>
              <c:f>Foglio3!$F$15:$F$21</c:f>
              <c:numCache>
                <c:formatCode>_-* #,##0_-;\-* #,##0_-;_-* "-"??_-;_-@_-</c:formatCode>
                <c:ptCount val="7"/>
                <c:pt idx="0">
                  <c:v>8636</c:v>
                </c:pt>
                <c:pt idx="1">
                  <c:v>6139</c:v>
                </c:pt>
                <c:pt idx="2">
                  <c:v>14005</c:v>
                </c:pt>
                <c:pt idx="3">
                  <c:v>5642</c:v>
                </c:pt>
                <c:pt idx="4">
                  <c:v>4980</c:v>
                </c:pt>
                <c:pt idx="5">
                  <c:v>8364</c:v>
                </c:pt>
                <c:pt idx="6">
                  <c:v>4676</c:v>
                </c:pt>
              </c:numCache>
            </c:numRef>
          </c:val>
        </c:ser>
        <c:dLbls>
          <c:dLblPos val="outEnd"/>
          <c:showLegendKey val="0"/>
          <c:showVal val="1"/>
          <c:showCatName val="0"/>
          <c:showSerName val="0"/>
          <c:showPercent val="0"/>
          <c:showBubbleSize val="0"/>
        </c:dLbls>
        <c:gapWidth val="219"/>
        <c:overlap val="-27"/>
        <c:axId val="502677000"/>
        <c:axId val="502680136"/>
      </c:barChart>
      <c:catAx>
        <c:axId val="50267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680136"/>
        <c:crosses val="autoZero"/>
        <c:auto val="1"/>
        <c:lblAlgn val="ctr"/>
        <c:lblOffset val="100"/>
        <c:noMultiLvlLbl val="0"/>
      </c:catAx>
      <c:valAx>
        <c:axId val="50268013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02677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3B5304-893C-4EBB-B3B3-DB73F62D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17367</Words>
  <Characters>98992</Characters>
  <Application>Microsoft Office Word</Application>
  <DocSecurity>0</DocSecurity>
  <Lines>824</Lines>
  <Paragraphs>232</Paragraphs>
  <ScaleCrop>false</ScaleCrop>
  <HeadingPairs>
    <vt:vector size="2" baseType="variant">
      <vt:variant>
        <vt:lpstr>Titolo</vt:lpstr>
      </vt:variant>
      <vt:variant>
        <vt:i4>1</vt:i4>
      </vt:variant>
    </vt:vector>
  </HeadingPairs>
  <TitlesOfParts>
    <vt:vector size="1" baseType="lpstr">
      <vt:lpstr>Relazione sulla Performance 2017</vt:lpstr>
    </vt:vector>
  </TitlesOfParts>
  <Company>Regione Emilia-Romagna</Company>
  <LinksUpToDate>false</LinksUpToDate>
  <CharactersWithSpaces>116127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Relazione sulla Performance 2017</dc:title>
  <dc:creator>g.pagoto@ausl.mo.it</dc:creator>
  <cp:lastModifiedBy>REBORA ELENA</cp:lastModifiedBy>
  <cp:revision>2</cp:revision>
  <cp:lastPrinted>2018-07-09T13:07:00Z</cp:lastPrinted>
  <dcterms:created xsi:type="dcterms:W3CDTF">2018-07-09T13:13:00Z</dcterms:created>
  <dcterms:modified xsi:type="dcterms:W3CDTF">2018-07-09T13:13:00Z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Regione Emilia-Romagna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1033-10.2.0.5871</vt:lpwstr>
  </property>
</Properties>
</file>