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FFC000"/>
          <w:spacing w:val="0"/>
          <w:position w:val="0"/>
          <w:sz w:val="32"/>
          <w:shd w:fill="auto" w:val="clear"/>
        </w:rPr>
        <w:t xml:space="preserve">LA SINTESI DI SILLABE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0" w:leader="none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uppressAutoHyphens w:val="true"/>
        <w:spacing w:before="10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Riuscire ad individuare una parola ascoltando le sue sillabe è un’abilità importante da “allenare” prima dell’ingresso alla scuola primaria. </w:t>
      </w:r>
    </w:p>
    <w:p>
      <w:pPr>
        <w:tabs>
          <w:tab w:val="left" w:pos="0" w:leader="none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uppressAutoHyphens w:val="true"/>
        <w:spacing w:before="10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Di seguito vi proponiamo una semplice attività da poter svolgere con semplicità a casa.</w:t>
      </w:r>
    </w:p>
    <w:p>
      <w:pPr>
        <w:tabs>
          <w:tab w:val="left" w:pos="0" w:leader="none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uppressAutoHyphens w:val="true"/>
        <w:spacing w:before="10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ATTIVITA'</w:t>
      </w:r>
    </w:p>
    <w:p>
      <w:pPr>
        <w:tabs>
          <w:tab w:val="left" w:pos="0" w:leader="none"/>
          <w:tab w:val="left" w:pos="1440" w:leader="none"/>
          <w:tab w:val="left" w:pos="2880" w:leader="none"/>
          <w:tab w:val="left" w:pos="4320" w:leader="none"/>
          <w:tab w:val="left" w:pos="5760" w:leader="none"/>
          <w:tab w:val="left" w:pos="7200" w:leader="none"/>
          <w:tab w:val="left" w:pos="8640" w:leader="none"/>
          <w:tab w:val="left" w:pos="10080" w:leader="none"/>
          <w:tab w:val="left" w:pos="11520" w:leader="none"/>
          <w:tab w:val="left" w:pos="12960" w:leader="none"/>
          <w:tab w:val="left" w:pos="14400" w:leader="none"/>
          <w:tab w:val="left" w:pos="15840" w:leader="none"/>
        </w:tabs>
        <w:suppressAutoHyphens w:val="true"/>
        <w:spacing w:before="10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32"/>
          <w:shd w:fill="auto" w:val="clear"/>
        </w:rPr>
        <w:t xml:space="preserve">Procuriamoci un cesto pieno di piccoli oggetti, in alternativa pieno di figure, successivamente la mamma o il papà scandisce la parola a pezzettini come fosse un robot (es. CA-NE) il bambino cerca nel cesto l’oggetto corrispondente (CANE).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object w:dxaOrig="3787" w:dyaOrig="2835">
          <v:rect xmlns:o="urn:schemas-microsoft-com:office:office" xmlns:v="urn:schemas-microsoft-com:vml" id="rectole0000000000" style="width:189.350000pt;height:141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